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A8C9" w14:textId="77777777" w:rsidR="00EF7F96" w:rsidRPr="00F621D4" w:rsidRDefault="00EF7F96" w:rsidP="00EF7F96">
      <w:pPr>
        <w:spacing w:after="0" w:line="240" w:lineRule="auto"/>
        <w:jc w:val="both"/>
        <w:rPr>
          <w:rFonts w:ascii="Humnst777 BT" w:hAnsi="Humnst777 BT" w:cs="Humnst777 BT"/>
          <w:b/>
          <w:color w:val="4472C4" w:themeColor="accent5"/>
          <w:sz w:val="20"/>
          <w:szCs w:val="20"/>
        </w:rPr>
      </w:pPr>
    </w:p>
    <w:p w14:paraId="60699A76" w14:textId="76B65574" w:rsidR="00EF7F96" w:rsidRPr="00F621D4" w:rsidRDefault="00EF7F96" w:rsidP="00EF7F96">
      <w:pPr>
        <w:spacing w:after="0" w:line="240" w:lineRule="auto"/>
        <w:jc w:val="center"/>
        <w:rPr>
          <w:rFonts w:ascii="Humnst777 BT" w:hAnsi="Humnst777 BT" w:cs="Humnst777 BT"/>
          <w:b/>
          <w:color w:val="4472C4" w:themeColor="accent5"/>
          <w:sz w:val="20"/>
          <w:szCs w:val="20"/>
        </w:rPr>
      </w:pPr>
      <w:r w:rsidRPr="00F621D4">
        <w:rPr>
          <w:rFonts w:ascii="Humnst777 BT" w:hAnsi="Humnst777 BT" w:cs="Humnst777 BT"/>
          <w:b/>
          <w:color w:val="4472C4" w:themeColor="accent5"/>
          <w:sz w:val="20"/>
          <w:szCs w:val="20"/>
        </w:rPr>
        <w:t>All guidance text appears in blue. Please delete blue text once template is completed.</w:t>
      </w:r>
    </w:p>
    <w:p w14:paraId="2A29EBED" w14:textId="77777777" w:rsidR="00EF7F96" w:rsidRPr="00F621D4" w:rsidRDefault="00EF7F96" w:rsidP="00035B91">
      <w:pPr>
        <w:pStyle w:val="Heading3"/>
        <w:keepNext w:val="0"/>
        <w:widowControl w:val="0"/>
        <w:jc w:val="center"/>
        <w:rPr>
          <w:sz w:val="20"/>
          <w:szCs w:val="20"/>
        </w:rPr>
      </w:pPr>
    </w:p>
    <w:p w14:paraId="061FA448" w14:textId="1D8AFE83" w:rsidR="00035B91" w:rsidRPr="00F621D4" w:rsidRDefault="00416D7A" w:rsidP="00035B91">
      <w:pPr>
        <w:pStyle w:val="Heading3"/>
        <w:keepNext w:val="0"/>
        <w:widowControl w:val="0"/>
        <w:jc w:val="center"/>
        <w:rPr>
          <w:sz w:val="20"/>
          <w:szCs w:val="20"/>
        </w:rPr>
      </w:pPr>
      <w:r w:rsidRPr="00F621D4">
        <w:rPr>
          <w:sz w:val="20"/>
          <w:szCs w:val="20"/>
        </w:rPr>
        <w:t>COURSE</w:t>
      </w:r>
      <w:r w:rsidR="00035B91" w:rsidRPr="00F621D4">
        <w:rPr>
          <w:sz w:val="20"/>
          <w:szCs w:val="20"/>
        </w:rPr>
        <w:t xml:space="preserve"> DOCUMENT</w:t>
      </w:r>
    </w:p>
    <w:p w14:paraId="06EE0C2B" w14:textId="26BD7A39" w:rsidR="00035B91" w:rsidRPr="00F621D4" w:rsidRDefault="00416D7A" w:rsidP="000244A1">
      <w:pPr>
        <w:pStyle w:val="Heading3"/>
        <w:keepNext w:val="0"/>
        <w:widowControl w:val="0"/>
        <w:jc w:val="center"/>
        <w:rPr>
          <w:sz w:val="20"/>
          <w:szCs w:val="20"/>
        </w:rPr>
      </w:pPr>
      <w:r w:rsidRPr="00F621D4">
        <w:rPr>
          <w:sz w:val="20"/>
          <w:szCs w:val="20"/>
        </w:rPr>
        <w:t>COURSE</w:t>
      </w:r>
      <w:r w:rsidR="004970CF" w:rsidRPr="00F621D4">
        <w:rPr>
          <w:sz w:val="20"/>
          <w:szCs w:val="20"/>
        </w:rPr>
        <w:t xml:space="preserve"> TITLE:</w:t>
      </w:r>
      <w:r w:rsidR="000244A1" w:rsidRPr="00F621D4">
        <w:rPr>
          <w:sz w:val="20"/>
          <w:szCs w:val="20"/>
        </w:rPr>
        <w:t xml:space="preserve"> </w:t>
      </w:r>
      <w:r w:rsidR="000244A1" w:rsidRPr="00F621D4">
        <w:rPr>
          <w:b w:val="0"/>
          <w:color w:val="4472C4" w:themeColor="accent5"/>
          <w:sz w:val="20"/>
          <w:szCs w:val="20"/>
        </w:rPr>
        <w:t xml:space="preserve">Full </w:t>
      </w:r>
      <w:r w:rsidRPr="00F621D4">
        <w:rPr>
          <w:b w:val="0"/>
          <w:color w:val="4472C4" w:themeColor="accent5"/>
          <w:sz w:val="20"/>
          <w:szCs w:val="20"/>
        </w:rPr>
        <w:t>Course</w:t>
      </w:r>
      <w:r w:rsidR="000244A1" w:rsidRPr="00F621D4">
        <w:rPr>
          <w:b w:val="0"/>
          <w:color w:val="4472C4" w:themeColor="accent5"/>
          <w:sz w:val="20"/>
          <w:szCs w:val="20"/>
        </w:rPr>
        <w:t xml:space="preserve"> title as agree</w:t>
      </w:r>
      <w:r w:rsidR="00302849" w:rsidRPr="00F621D4">
        <w:rPr>
          <w:b w:val="0"/>
          <w:color w:val="4472C4" w:themeColor="accent5"/>
          <w:sz w:val="20"/>
          <w:szCs w:val="20"/>
        </w:rPr>
        <w:t>d</w:t>
      </w:r>
      <w:r w:rsidR="000244A1" w:rsidRPr="00F621D4">
        <w:rPr>
          <w:b w:val="0"/>
          <w:color w:val="4472C4" w:themeColor="accent5"/>
          <w:sz w:val="20"/>
          <w:szCs w:val="20"/>
        </w:rPr>
        <w:t xml:space="preserve"> </w:t>
      </w:r>
      <w:r w:rsidR="00302849" w:rsidRPr="00F621D4">
        <w:rPr>
          <w:b w:val="0"/>
          <w:color w:val="4472C4" w:themeColor="accent5"/>
          <w:sz w:val="20"/>
          <w:szCs w:val="20"/>
        </w:rPr>
        <w:t>by the Academic Strategy Committee (Planning Proposal Part 1)</w:t>
      </w:r>
    </w:p>
    <w:p w14:paraId="305B7AF8" w14:textId="77777777" w:rsidR="00302A17" w:rsidRPr="00F621D4" w:rsidRDefault="00302A17" w:rsidP="00035B91">
      <w:pPr>
        <w:pStyle w:val="Heading3"/>
        <w:rPr>
          <w:color w:val="4472C4" w:themeColor="accent5"/>
          <w:sz w:val="20"/>
          <w:szCs w:val="20"/>
        </w:rPr>
      </w:pPr>
      <w:bookmarkStart w:id="0" w:name="_Hlk33770122"/>
    </w:p>
    <w:bookmarkEnd w:id="0"/>
    <w:p w14:paraId="265D44F7" w14:textId="47B2A1BF" w:rsidR="00035B91" w:rsidRPr="00F621D4" w:rsidRDefault="00035B91" w:rsidP="00F76924">
      <w:pPr>
        <w:spacing w:after="0"/>
        <w:ind w:left="142"/>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If you have any difficulties in using this </w:t>
      </w:r>
      <w:r w:rsidR="00F7692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 xml:space="preserve">document, please contact your Faculty </w:t>
      </w:r>
      <w:r w:rsidR="0009613F" w:rsidRPr="00F621D4">
        <w:rPr>
          <w:rFonts w:ascii="Humnst777 BT" w:eastAsia="Humnst777 BT" w:hAnsi="Humnst777 BT" w:cs="Humnst777 BT"/>
          <w:color w:val="4472C4" w:themeColor="accent5"/>
          <w:sz w:val="20"/>
          <w:szCs w:val="20"/>
        </w:rPr>
        <w:t>Quality Office.</w:t>
      </w:r>
    </w:p>
    <w:p w14:paraId="3A39E8BB" w14:textId="77777777" w:rsidR="00F76924" w:rsidRDefault="00F76924" w:rsidP="00F76924">
      <w:pPr>
        <w:pStyle w:val="Heading3"/>
        <w:spacing w:before="0" w:after="0"/>
        <w:ind w:left="142"/>
        <w:rPr>
          <w:b w:val="0"/>
          <w:color w:val="4472C4" w:themeColor="accent5"/>
          <w:sz w:val="20"/>
          <w:szCs w:val="20"/>
        </w:rPr>
      </w:pPr>
    </w:p>
    <w:p w14:paraId="632B7804" w14:textId="3FB0D9EE" w:rsidR="0011280A" w:rsidRPr="00F621D4" w:rsidRDefault="00F76924" w:rsidP="00F76924">
      <w:pPr>
        <w:pStyle w:val="Heading3"/>
        <w:spacing w:before="0" w:after="0"/>
        <w:ind w:left="142"/>
        <w:rPr>
          <w:b w:val="0"/>
          <w:color w:val="4472C4" w:themeColor="accent5"/>
          <w:sz w:val="20"/>
          <w:szCs w:val="20"/>
        </w:rPr>
      </w:pPr>
      <w:r>
        <w:rPr>
          <w:b w:val="0"/>
          <w:color w:val="4472C4" w:themeColor="accent5"/>
          <w:sz w:val="20"/>
          <w:szCs w:val="20"/>
        </w:rPr>
        <w:t xml:space="preserve">This </w:t>
      </w:r>
      <w:r w:rsidR="00035B91" w:rsidRPr="00F621D4">
        <w:rPr>
          <w:b w:val="0"/>
          <w:color w:val="4472C4" w:themeColor="accent5"/>
          <w:sz w:val="20"/>
          <w:szCs w:val="20"/>
        </w:rPr>
        <w:t>document should be prepared in line with</w:t>
      </w:r>
      <w:r w:rsidR="0011280A" w:rsidRPr="00F621D4">
        <w:rPr>
          <w:b w:val="0"/>
          <w:color w:val="4472C4" w:themeColor="accent5"/>
          <w:sz w:val="20"/>
          <w:szCs w:val="20"/>
        </w:rPr>
        <w:t>:</w:t>
      </w:r>
    </w:p>
    <w:p w14:paraId="15A82BD0" w14:textId="7DC4D8CE" w:rsidR="00956603" w:rsidRPr="00B73BE5" w:rsidRDefault="004C783D" w:rsidP="00F76924">
      <w:pPr>
        <w:pStyle w:val="Heading3"/>
        <w:numPr>
          <w:ilvl w:val="0"/>
          <w:numId w:val="13"/>
        </w:numPr>
        <w:spacing w:before="0" w:after="0"/>
        <w:ind w:left="426" w:hanging="284"/>
        <w:rPr>
          <w:rStyle w:val="Hyperlink"/>
          <w:b w:val="0"/>
          <w:color w:val="4472C4" w:themeColor="accent5"/>
          <w:sz w:val="20"/>
          <w:szCs w:val="20"/>
          <w:u w:val="none"/>
        </w:rPr>
      </w:pPr>
      <w:hyperlink r:id="rId8" w:history="1">
        <w:r w:rsidR="00956603" w:rsidRPr="00B73BE5">
          <w:rPr>
            <w:rStyle w:val="Hyperlink"/>
            <w:b w:val="0"/>
            <w:color w:val="4472C4" w:themeColor="accent5"/>
            <w:sz w:val="20"/>
            <w:szCs w:val="20"/>
            <w:u w:val="none"/>
          </w:rPr>
          <w:t>Guidance for Programme Design and Development</w:t>
        </w:r>
      </w:hyperlink>
      <w:r w:rsidR="00B60BB1" w:rsidRPr="00B73BE5">
        <w:rPr>
          <w:rStyle w:val="Hyperlink"/>
          <w:b w:val="0"/>
          <w:color w:val="4472C4" w:themeColor="accent5"/>
          <w:sz w:val="20"/>
          <w:szCs w:val="20"/>
          <w:u w:val="none"/>
        </w:rPr>
        <w:t xml:space="preserve"> </w:t>
      </w:r>
    </w:p>
    <w:p w14:paraId="19E85695" w14:textId="03BE5758" w:rsidR="00CF387F" w:rsidRPr="00B73BE5" w:rsidRDefault="004C783D" w:rsidP="00F76924">
      <w:pPr>
        <w:pStyle w:val="Heading3"/>
        <w:numPr>
          <w:ilvl w:val="0"/>
          <w:numId w:val="13"/>
        </w:numPr>
        <w:spacing w:before="0" w:after="0"/>
        <w:ind w:left="426" w:hanging="284"/>
        <w:rPr>
          <w:b w:val="0"/>
          <w:color w:val="4472C4" w:themeColor="accent5"/>
          <w:sz w:val="20"/>
          <w:szCs w:val="20"/>
        </w:rPr>
      </w:pPr>
      <w:hyperlink r:id="rId9" w:anchor="collapseEight" w:history="1">
        <w:r w:rsidR="00CF387F" w:rsidRPr="00B73BE5">
          <w:rPr>
            <w:rStyle w:val="Hyperlink"/>
            <w:b w:val="0"/>
            <w:sz w:val="20"/>
            <w:szCs w:val="20"/>
            <w:u w:val="none"/>
          </w:rPr>
          <w:t>Academic Framework</w:t>
        </w:r>
      </w:hyperlink>
      <w:r w:rsidR="00CF387F" w:rsidRPr="00B73BE5">
        <w:rPr>
          <w:rStyle w:val="Hyperlink"/>
          <w:b w:val="0"/>
          <w:color w:val="4472C4" w:themeColor="accent5"/>
          <w:sz w:val="20"/>
          <w:szCs w:val="20"/>
          <w:u w:val="none"/>
        </w:rPr>
        <w:t xml:space="preserve"> </w:t>
      </w:r>
    </w:p>
    <w:p w14:paraId="6FA595CA" w14:textId="7783C441" w:rsidR="0011280A" w:rsidRPr="00B73BE5" w:rsidRDefault="004C783D" w:rsidP="00F76924">
      <w:pPr>
        <w:pStyle w:val="Heading3"/>
        <w:numPr>
          <w:ilvl w:val="0"/>
          <w:numId w:val="13"/>
        </w:numPr>
        <w:spacing w:before="0" w:after="0"/>
        <w:ind w:left="426" w:hanging="284"/>
        <w:rPr>
          <w:b w:val="0"/>
          <w:color w:val="4472C4" w:themeColor="accent5"/>
          <w:sz w:val="20"/>
          <w:szCs w:val="20"/>
        </w:rPr>
      </w:pPr>
      <w:hyperlink r:id="rId10" w:history="1">
        <w:r w:rsidR="00956603" w:rsidRPr="00B73BE5">
          <w:rPr>
            <w:rStyle w:val="Hyperlink"/>
            <w:b w:val="0"/>
            <w:sz w:val="20"/>
            <w:szCs w:val="20"/>
            <w:u w:val="none"/>
          </w:rPr>
          <w:t>T</w:t>
        </w:r>
        <w:r w:rsidR="00035B91" w:rsidRPr="00B73BE5">
          <w:rPr>
            <w:rStyle w:val="Hyperlink"/>
            <w:b w:val="0"/>
            <w:sz w:val="20"/>
            <w:szCs w:val="20"/>
            <w:u w:val="none"/>
          </w:rPr>
          <w:t>he</w:t>
        </w:r>
        <w:r w:rsidR="00C65C39" w:rsidRPr="00B73BE5">
          <w:rPr>
            <w:rStyle w:val="Hyperlink"/>
            <w:b w:val="0"/>
            <w:sz w:val="20"/>
            <w:szCs w:val="20"/>
            <w:u w:val="none"/>
          </w:rPr>
          <w:t xml:space="preserve"> General Regulations for the Conferment of Awards</w:t>
        </w:r>
      </w:hyperlink>
      <w:r w:rsidR="00E54C12" w:rsidRPr="00B73BE5">
        <w:rPr>
          <w:b w:val="0"/>
          <w:color w:val="4472C4" w:themeColor="accent5"/>
          <w:sz w:val="20"/>
          <w:szCs w:val="20"/>
        </w:rPr>
        <w:t xml:space="preserve"> </w:t>
      </w:r>
    </w:p>
    <w:p w14:paraId="3E704E4F" w14:textId="150CEBC0" w:rsidR="0011280A" w:rsidRPr="00B73BE5" w:rsidRDefault="004C783D" w:rsidP="00F76924">
      <w:pPr>
        <w:pStyle w:val="Heading3"/>
        <w:numPr>
          <w:ilvl w:val="0"/>
          <w:numId w:val="13"/>
        </w:numPr>
        <w:spacing w:before="0" w:after="0"/>
        <w:ind w:left="426" w:hanging="284"/>
        <w:rPr>
          <w:b w:val="0"/>
          <w:color w:val="4472C4" w:themeColor="accent5"/>
          <w:sz w:val="20"/>
          <w:szCs w:val="20"/>
        </w:rPr>
      </w:pPr>
      <w:hyperlink r:id="rId11" w:history="1">
        <w:r w:rsidR="00956603" w:rsidRPr="00B73BE5">
          <w:rPr>
            <w:rStyle w:val="Hyperlink"/>
            <w:b w:val="0"/>
            <w:sz w:val="20"/>
            <w:szCs w:val="20"/>
            <w:u w:val="none"/>
          </w:rPr>
          <w:t>T</w:t>
        </w:r>
        <w:r w:rsidR="0011280A" w:rsidRPr="00B73BE5">
          <w:rPr>
            <w:rStyle w:val="Hyperlink"/>
            <w:b w:val="0"/>
            <w:sz w:val="20"/>
            <w:szCs w:val="20"/>
            <w:u w:val="none"/>
          </w:rPr>
          <w:t>he Quality Manual</w:t>
        </w:r>
      </w:hyperlink>
      <w:r w:rsidR="00B60BB1" w:rsidRPr="00B73BE5">
        <w:rPr>
          <w:b w:val="0"/>
          <w:color w:val="4472C4" w:themeColor="accent5"/>
          <w:sz w:val="20"/>
          <w:szCs w:val="20"/>
        </w:rPr>
        <w:t xml:space="preserve"> </w:t>
      </w:r>
    </w:p>
    <w:p w14:paraId="75790423" w14:textId="3C85ADEB" w:rsidR="0011280A" w:rsidRPr="00B73BE5" w:rsidRDefault="00956603" w:rsidP="00F76924">
      <w:pPr>
        <w:pStyle w:val="Heading3"/>
        <w:numPr>
          <w:ilvl w:val="0"/>
          <w:numId w:val="13"/>
        </w:numPr>
        <w:spacing w:before="0" w:after="0"/>
        <w:ind w:left="426" w:hanging="284"/>
        <w:rPr>
          <w:b w:val="0"/>
          <w:color w:val="4472C4" w:themeColor="accent5"/>
          <w:sz w:val="20"/>
          <w:szCs w:val="20"/>
        </w:rPr>
      </w:pPr>
      <w:r w:rsidRPr="00B73BE5">
        <w:rPr>
          <w:b w:val="0"/>
          <w:color w:val="4472C4" w:themeColor="accent5"/>
          <w:sz w:val="20"/>
          <w:szCs w:val="20"/>
        </w:rPr>
        <w:t>A</w:t>
      </w:r>
      <w:r w:rsidR="00035B91" w:rsidRPr="00B73BE5">
        <w:rPr>
          <w:b w:val="0"/>
          <w:color w:val="4472C4" w:themeColor="accent5"/>
          <w:sz w:val="20"/>
          <w:szCs w:val="20"/>
        </w:rPr>
        <w:t xml:space="preserve">ny relevant </w:t>
      </w:r>
      <w:r w:rsidR="0011280A" w:rsidRPr="00B73BE5">
        <w:rPr>
          <w:b w:val="0"/>
          <w:color w:val="4472C4" w:themeColor="accent5"/>
          <w:sz w:val="20"/>
          <w:szCs w:val="20"/>
        </w:rPr>
        <w:t xml:space="preserve">frameworks </w:t>
      </w:r>
      <w:r w:rsidR="00035B91" w:rsidRPr="00B73BE5">
        <w:rPr>
          <w:b w:val="0"/>
          <w:color w:val="4472C4" w:themeColor="accent5"/>
          <w:sz w:val="20"/>
          <w:szCs w:val="20"/>
        </w:rPr>
        <w:t>and special regulation</w:t>
      </w:r>
      <w:r w:rsidR="0011280A" w:rsidRPr="00B73BE5">
        <w:rPr>
          <w:b w:val="0"/>
          <w:color w:val="4472C4" w:themeColor="accent5"/>
          <w:sz w:val="20"/>
          <w:szCs w:val="20"/>
        </w:rPr>
        <w:t>s</w:t>
      </w:r>
      <w:r w:rsidR="00F76924" w:rsidRPr="00B73BE5">
        <w:rPr>
          <w:b w:val="0"/>
          <w:color w:val="4472C4" w:themeColor="accent5"/>
          <w:sz w:val="20"/>
          <w:szCs w:val="20"/>
        </w:rPr>
        <w:t xml:space="preserve"> </w:t>
      </w:r>
    </w:p>
    <w:p w14:paraId="3EA0B1F2" w14:textId="0AF81982" w:rsidR="00035B91" w:rsidRPr="00B73BE5" w:rsidRDefault="004C783D" w:rsidP="00F76924">
      <w:pPr>
        <w:pStyle w:val="Heading3"/>
        <w:numPr>
          <w:ilvl w:val="0"/>
          <w:numId w:val="13"/>
        </w:numPr>
        <w:spacing w:before="0" w:after="0"/>
        <w:ind w:left="426" w:hanging="284"/>
        <w:rPr>
          <w:b w:val="0"/>
          <w:color w:val="4472C4" w:themeColor="accent5"/>
          <w:sz w:val="20"/>
          <w:szCs w:val="20"/>
        </w:rPr>
      </w:pPr>
      <w:hyperlink r:id="rId12" w:history="1">
        <w:r w:rsidR="00956603" w:rsidRPr="00B73BE5">
          <w:rPr>
            <w:rStyle w:val="Hyperlink"/>
            <w:b w:val="0"/>
            <w:sz w:val="20"/>
            <w:szCs w:val="20"/>
            <w:u w:val="none"/>
          </w:rPr>
          <w:t>T</w:t>
        </w:r>
        <w:r w:rsidR="00035B91" w:rsidRPr="00B73BE5">
          <w:rPr>
            <w:rStyle w:val="Hyperlink"/>
            <w:b w:val="0"/>
            <w:sz w:val="20"/>
            <w:szCs w:val="20"/>
            <w:u w:val="none"/>
          </w:rPr>
          <w:t>he Standard Information Items for Validation</w:t>
        </w:r>
      </w:hyperlink>
      <w:r w:rsidR="00035B91" w:rsidRPr="00B73BE5">
        <w:rPr>
          <w:b w:val="0"/>
          <w:color w:val="4472C4" w:themeColor="accent5"/>
          <w:sz w:val="20"/>
          <w:szCs w:val="20"/>
        </w:rPr>
        <w:t xml:space="preserve"> </w:t>
      </w:r>
    </w:p>
    <w:p w14:paraId="36337003" w14:textId="39CBBBA2" w:rsidR="001B676C" w:rsidRDefault="004C783D" w:rsidP="00F76924">
      <w:pPr>
        <w:pStyle w:val="Heading3"/>
        <w:numPr>
          <w:ilvl w:val="0"/>
          <w:numId w:val="13"/>
        </w:numPr>
        <w:spacing w:before="0" w:after="0"/>
        <w:ind w:left="426" w:hanging="284"/>
        <w:rPr>
          <w:b w:val="0"/>
          <w:color w:val="4472C4" w:themeColor="accent5"/>
          <w:sz w:val="20"/>
          <w:szCs w:val="20"/>
        </w:rPr>
      </w:pPr>
      <w:hyperlink r:id="rId13" w:history="1">
        <w:r w:rsidR="005108C6" w:rsidRPr="00B73BE5">
          <w:rPr>
            <w:rStyle w:val="Hyperlink"/>
            <w:b w:val="0"/>
            <w:sz w:val="20"/>
            <w:szCs w:val="20"/>
            <w:u w:val="none"/>
          </w:rPr>
          <w:t>The University Learning and Teaching Strategy</w:t>
        </w:r>
      </w:hyperlink>
      <w:r w:rsidR="005108C6">
        <w:rPr>
          <w:b w:val="0"/>
          <w:color w:val="4472C4" w:themeColor="accent5"/>
          <w:sz w:val="20"/>
          <w:szCs w:val="20"/>
        </w:rPr>
        <w:t xml:space="preserve"> </w:t>
      </w:r>
    </w:p>
    <w:p w14:paraId="57EA16A8" w14:textId="77777777" w:rsidR="00F76924" w:rsidRPr="00F76924" w:rsidRDefault="00F76924" w:rsidP="00F76924">
      <w:pPr>
        <w:pStyle w:val="Heading3"/>
        <w:spacing w:before="0" w:after="0"/>
        <w:ind w:left="426"/>
        <w:rPr>
          <w:b w:val="0"/>
          <w:color w:val="4472C4" w:themeColor="accent5"/>
          <w:sz w:val="20"/>
          <w:szCs w:val="20"/>
        </w:rPr>
      </w:pPr>
    </w:p>
    <w:p w14:paraId="2ACF27D4" w14:textId="77777777" w:rsidR="001B676C" w:rsidRPr="00F621D4" w:rsidRDefault="001B676C" w:rsidP="00F76924">
      <w:pPr>
        <w:pStyle w:val="Heading3"/>
        <w:spacing w:before="0" w:after="0"/>
        <w:ind w:left="142"/>
        <w:rPr>
          <w:b w:val="0"/>
          <w:color w:val="4472C4" w:themeColor="accent5"/>
          <w:sz w:val="20"/>
          <w:szCs w:val="20"/>
        </w:rPr>
      </w:pPr>
      <w:r w:rsidRPr="00F621D4">
        <w:rPr>
          <w:b w:val="0"/>
          <w:color w:val="4472C4" w:themeColor="accent5"/>
          <w:sz w:val="20"/>
          <w:szCs w:val="20"/>
        </w:rPr>
        <w:t>For apprenticeship courses, the following additional documents should be used:</w:t>
      </w:r>
    </w:p>
    <w:p w14:paraId="6837A716" w14:textId="216DB09A" w:rsidR="001B676C" w:rsidRPr="00F621D4" w:rsidRDefault="00F76924" w:rsidP="00F76924">
      <w:pPr>
        <w:pStyle w:val="Heading3"/>
        <w:spacing w:before="0" w:after="0"/>
        <w:ind w:left="426" w:hanging="284"/>
        <w:rPr>
          <w:b w:val="0"/>
          <w:color w:val="4472C4" w:themeColor="accent5"/>
          <w:sz w:val="20"/>
          <w:szCs w:val="20"/>
        </w:rPr>
      </w:pPr>
      <w:r>
        <w:rPr>
          <w:b w:val="0"/>
          <w:color w:val="4472C4" w:themeColor="accent5"/>
          <w:sz w:val="20"/>
          <w:szCs w:val="20"/>
        </w:rPr>
        <w:t>8.</w:t>
      </w:r>
      <w:r w:rsidR="001B676C" w:rsidRPr="00F621D4">
        <w:rPr>
          <w:b w:val="0"/>
          <w:color w:val="4472C4" w:themeColor="accent5"/>
          <w:sz w:val="20"/>
          <w:szCs w:val="20"/>
        </w:rPr>
        <w:tab/>
        <w:t>The Apprenticeship Framework</w:t>
      </w:r>
    </w:p>
    <w:p w14:paraId="3A11E43D" w14:textId="59A1F066" w:rsidR="001B676C" w:rsidRPr="00B73BE5" w:rsidRDefault="00F76924" w:rsidP="00F76924">
      <w:pPr>
        <w:pStyle w:val="Heading3"/>
        <w:spacing w:before="0" w:after="0"/>
        <w:ind w:left="426" w:hanging="284"/>
        <w:rPr>
          <w:b w:val="0"/>
          <w:color w:val="4472C4" w:themeColor="accent5"/>
          <w:sz w:val="20"/>
          <w:szCs w:val="20"/>
        </w:rPr>
      </w:pPr>
      <w:r w:rsidRPr="00B73BE5">
        <w:rPr>
          <w:b w:val="0"/>
          <w:color w:val="4472C4" w:themeColor="accent5"/>
          <w:sz w:val="20"/>
          <w:szCs w:val="20"/>
        </w:rPr>
        <w:t>9.</w:t>
      </w:r>
      <w:r w:rsidRPr="00B73BE5">
        <w:rPr>
          <w:b w:val="0"/>
          <w:color w:val="4472C4" w:themeColor="accent5"/>
          <w:sz w:val="20"/>
          <w:szCs w:val="20"/>
        </w:rPr>
        <w:tab/>
      </w:r>
      <w:hyperlink r:id="rId14" w:history="1">
        <w:r w:rsidR="001B676C" w:rsidRPr="00B73BE5">
          <w:rPr>
            <w:rStyle w:val="Hyperlink"/>
            <w:b w:val="0"/>
            <w:sz w:val="20"/>
            <w:szCs w:val="20"/>
            <w:u w:val="none"/>
          </w:rPr>
          <w:t>QAA Characteristics Statement for Higher Education in Apprenticeships</w:t>
        </w:r>
      </w:hyperlink>
      <w:r w:rsidR="001B676C" w:rsidRPr="00B73BE5">
        <w:rPr>
          <w:b w:val="0"/>
          <w:color w:val="4472C4" w:themeColor="accent5"/>
          <w:sz w:val="20"/>
          <w:szCs w:val="20"/>
        </w:rPr>
        <w:t xml:space="preserve"> (July 2019)</w:t>
      </w:r>
    </w:p>
    <w:p w14:paraId="7B194F51" w14:textId="63F7CE92" w:rsidR="0009613F" w:rsidRPr="00B73BE5" w:rsidRDefault="004C783D" w:rsidP="00F76924">
      <w:pPr>
        <w:pStyle w:val="Heading3"/>
        <w:spacing w:before="0" w:after="0"/>
        <w:ind w:left="426" w:hanging="284"/>
        <w:rPr>
          <w:color w:val="4472C4" w:themeColor="accent5"/>
          <w:sz w:val="20"/>
          <w:szCs w:val="20"/>
        </w:rPr>
      </w:pPr>
      <w:hyperlink r:id="rId15" w:history="1">
        <w:r w:rsidR="00F76924" w:rsidRPr="00B73BE5">
          <w:rPr>
            <w:rStyle w:val="Hyperlink"/>
            <w:b w:val="0"/>
            <w:sz w:val="20"/>
            <w:szCs w:val="20"/>
            <w:u w:val="none"/>
          </w:rPr>
          <w:t>10.</w:t>
        </w:r>
        <w:r w:rsidR="00F76924" w:rsidRPr="00B73BE5">
          <w:rPr>
            <w:rStyle w:val="Hyperlink"/>
            <w:b w:val="0"/>
            <w:sz w:val="20"/>
            <w:szCs w:val="20"/>
            <w:u w:val="none"/>
          </w:rPr>
          <w:tab/>
        </w:r>
        <w:r w:rsidR="001B676C" w:rsidRPr="00B73BE5">
          <w:rPr>
            <w:rStyle w:val="Hyperlink"/>
            <w:b w:val="0"/>
            <w:sz w:val="20"/>
            <w:szCs w:val="20"/>
            <w:u w:val="none"/>
          </w:rPr>
          <w:t>Institute for Apprenticeships: Quality Apprenticeships</w:t>
        </w:r>
      </w:hyperlink>
    </w:p>
    <w:p w14:paraId="65EE9077" w14:textId="77777777" w:rsidR="00F76924" w:rsidRPr="00F621D4" w:rsidRDefault="00F76924" w:rsidP="00F76924">
      <w:pPr>
        <w:pStyle w:val="Heading3"/>
        <w:spacing w:before="0" w:after="0"/>
        <w:ind w:left="567" w:hanging="142"/>
        <w:rPr>
          <w:b w:val="0"/>
          <w:color w:val="4472C4" w:themeColor="accent5"/>
          <w:sz w:val="20"/>
          <w:szCs w:val="20"/>
        </w:rPr>
      </w:pPr>
    </w:p>
    <w:p w14:paraId="20DFE58D" w14:textId="0D185FA1" w:rsidR="00035B91" w:rsidRPr="00F621D4" w:rsidRDefault="00035B91" w:rsidP="00F76924">
      <w:pPr>
        <w:spacing w:after="0"/>
        <w:ind w:left="142"/>
        <w:jc w:val="both"/>
        <w:rPr>
          <w:rFonts w:ascii="Humnst777 BT" w:eastAsia="Humnst777 BT" w:hAnsi="Humnst777 BT" w:cs="Humnst777 BT"/>
          <w:b/>
          <w:color w:val="4472C4" w:themeColor="accent5"/>
          <w:sz w:val="20"/>
          <w:szCs w:val="20"/>
        </w:rPr>
      </w:pPr>
      <w:r w:rsidRPr="00F621D4">
        <w:rPr>
          <w:rFonts w:ascii="Humnst777 BT" w:eastAsia="Humnst777 BT" w:hAnsi="Humnst777 BT" w:cs="Humnst777 BT"/>
          <w:b/>
          <w:color w:val="4472C4" w:themeColor="accent5"/>
          <w:sz w:val="20"/>
          <w:szCs w:val="20"/>
        </w:rPr>
        <w:t>A note on regulations</w:t>
      </w:r>
    </w:p>
    <w:p w14:paraId="48761356" w14:textId="68C798D3" w:rsidR="00035B91" w:rsidRPr="00F621D4" w:rsidRDefault="00035B91" w:rsidP="00F76924">
      <w:pPr>
        <w:spacing w:after="0"/>
        <w:ind w:left="142"/>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Unless explicitly stated otherwise, the </w:t>
      </w:r>
      <w:r w:rsidR="0014023B" w:rsidRPr="00F621D4">
        <w:rPr>
          <w:rFonts w:ascii="Humnst777 BT" w:eastAsia="Humnst777 BT" w:hAnsi="Humnst777 BT" w:cs="Humnst777 BT"/>
          <w:color w:val="4472C4" w:themeColor="accent5"/>
          <w:sz w:val="20"/>
          <w:szCs w:val="20"/>
        </w:rPr>
        <w:t>course</w:t>
      </w:r>
      <w:r w:rsidRPr="00F621D4">
        <w:rPr>
          <w:rFonts w:ascii="Humnst777 BT" w:eastAsia="Humnst777 BT" w:hAnsi="Humnst777 BT" w:cs="Humnst777 BT"/>
          <w:color w:val="4472C4" w:themeColor="accent5"/>
          <w:sz w:val="20"/>
          <w:szCs w:val="20"/>
        </w:rPr>
        <w:t xml:space="preserve"> will operate fully in line with the expectations of</w:t>
      </w:r>
      <w:r w:rsidR="00F76924">
        <w:rPr>
          <w:rFonts w:ascii="Humnst777 BT" w:eastAsia="Humnst777 BT" w:hAnsi="Humnst777 BT" w:cs="Humnst777 BT"/>
          <w:color w:val="4472C4" w:themeColor="accent5"/>
          <w:sz w:val="20"/>
          <w:szCs w:val="20"/>
        </w:rPr>
        <w:t xml:space="preserve"> the following:</w:t>
      </w:r>
    </w:p>
    <w:p w14:paraId="74D09E29" w14:textId="4136C5DC" w:rsidR="00035B91" w:rsidRPr="00F621D4" w:rsidRDefault="00C65C39"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General Regulations for the Conferment of Awards, Assessment Procedures and any relevant frameworks.</w:t>
      </w:r>
    </w:p>
    <w:p w14:paraId="02507586" w14:textId="4D807C41" w:rsidR="00035B91" w:rsidRPr="00F621D4" w:rsidRDefault="00F76924"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S</w:t>
      </w:r>
      <w:r w:rsidR="00035B91" w:rsidRPr="00F621D4">
        <w:rPr>
          <w:rFonts w:ascii="Humnst777 BT" w:eastAsia="Humnst777 BT" w:hAnsi="Humnst777 BT" w:cs="Humnst777 BT"/>
          <w:color w:val="4472C4" w:themeColor="accent5"/>
          <w:sz w:val="20"/>
          <w:szCs w:val="20"/>
        </w:rPr>
        <w:t xml:space="preserve">pecial regulations or any relevant Scheme Protocols (as identified on page 1 of the </w:t>
      </w:r>
      <w:r w:rsidR="004A11CB" w:rsidRPr="00F621D4">
        <w:rPr>
          <w:rFonts w:ascii="Humnst777 BT" w:eastAsia="Humnst777 BT" w:hAnsi="Humnst777 BT" w:cs="Humnst777 BT"/>
          <w:color w:val="4472C4" w:themeColor="accent5"/>
          <w:sz w:val="20"/>
          <w:szCs w:val="20"/>
        </w:rPr>
        <w:t>Course</w:t>
      </w:r>
      <w:r w:rsidR="00035B91" w:rsidRPr="00F621D4">
        <w:rPr>
          <w:rFonts w:ascii="Humnst777 BT" w:eastAsia="Humnst777 BT" w:hAnsi="Humnst777 BT" w:cs="Humnst777 BT"/>
          <w:color w:val="4472C4" w:themeColor="accent5"/>
          <w:sz w:val="20"/>
          <w:szCs w:val="20"/>
        </w:rPr>
        <w:t xml:space="preserve"> Specification) </w:t>
      </w:r>
    </w:p>
    <w:p w14:paraId="3808BED0" w14:textId="412CE7C6" w:rsidR="00F76924" w:rsidRDefault="00035B91"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University marking criteria (for undergraduate </w:t>
      </w:r>
      <w:r w:rsidR="0014023B" w:rsidRPr="00F621D4">
        <w:rPr>
          <w:rFonts w:ascii="Humnst777 BT" w:eastAsia="Humnst777 BT" w:hAnsi="Humnst777 BT" w:cs="Humnst777 BT"/>
          <w:color w:val="4472C4" w:themeColor="accent5"/>
          <w:sz w:val="20"/>
          <w:szCs w:val="20"/>
        </w:rPr>
        <w:t>courses</w:t>
      </w:r>
      <w:r w:rsidRPr="00F621D4">
        <w:rPr>
          <w:rFonts w:ascii="Humnst777 BT" w:eastAsia="Humnst777 BT" w:hAnsi="Humnst777 BT" w:cs="Humnst777 BT"/>
          <w:color w:val="4472C4" w:themeColor="accent5"/>
          <w:sz w:val="20"/>
          <w:szCs w:val="20"/>
        </w:rPr>
        <w:t xml:space="preserve"> at levels 4, 5 and 6).</w:t>
      </w:r>
    </w:p>
    <w:p w14:paraId="0011CA07" w14:textId="77777777" w:rsidR="00F76924" w:rsidRPr="00F76924" w:rsidRDefault="00F76924" w:rsidP="00F76924">
      <w:pPr>
        <w:pStyle w:val="ListParagraph"/>
        <w:autoSpaceDE w:val="0"/>
        <w:autoSpaceDN w:val="0"/>
        <w:adjustRightInd w:val="0"/>
        <w:spacing w:after="0" w:line="240" w:lineRule="auto"/>
        <w:ind w:left="851"/>
        <w:jc w:val="both"/>
        <w:rPr>
          <w:rFonts w:ascii="Humnst777 BT" w:eastAsia="Humnst777 BT" w:hAnsi="Humnst777 BT" w:cs="Humnst777 BT"/>
          <w:color w:val="4472C4" w:themeColor="accent5"/>
          <w:sz w:val="20"/>
          <w:szCs w:val="20"/>
        </w:rPr>
      </w:pPr>
    </w:p>
    <w:p w14:paraId="5335F7DD" w14:textId="4200E973" w:rsidR="00035B91" w:rsidRPr="00F621D4" w:rsidRDefault="00035B91" w:rsidP="00F76924">
      <w:pPr>
        <w:spacing w:after="0"/>
        <w:ind w:left="142"/>
        <w:jc w:val="both"/>
        <w:rPr>
          <w:rFonts w:ascii="Humnst777 BT" w:eastAsia="Humnst777 BT" w:hAnsi="Humnst777 BT" w:cs="Humnst777 BT"/>
          <w:b/>
          <w:color w:val="4472C4" w:themeColor="accent5"/>
          <w:sz w:val="20"/>
          <w:szCs w:val="20"/>
        </w:rPr>
      </w:pPr>
      <w:r w:rsidRPr="00F621D4">
        <w:rPr>
          <w:rFonts w:ascii="Humnst777 BT" w:eastAsia="Humnst777 BT" w:hAnsi="Humnst777 BT" w:cs="Humnst777 BT"/>
          <w:b/>
          <w:color w:val="4472C4" w:themeColor="accent5"/>
          <w:sz w:val="20"/>
          <w:szCs w:val="20"/>
        </w:rPr>
        <w:t xml:space="preserve">Please avoid quoting or paraphrasing these documents. A simple cross-reference will usually suffice. </w:t>
      </w:r>
    </w:p>
    <w:p w14:paraId="45796B56" w14:textId="2E481315" w:rsidR="00035B91" w:rsidRDefault="00035B91" w:rsidP="00F76924">
      <w:pPr>
        <w:spacing w:after="0"/>
        <w:ind w:left="142"/>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If this </w:t>
      </w:r>
      <w:r w:rsidR="0014023B" w:rsidRPr="00F621D4">
        <w:rPr>
          <w:rFonts w:ascii="Humnst777 BT" w:eastAsia="Humnst777 BT" w:hAnsi="Humnst777 BT" w:cs="Humnst777 BT"/>
          <w:color w:val="4472C4" w:themeColor="accent5"/>
          <w:sz w:val="20"/>
          <w:szCs w:val="20"/>
        </w:rPr>
        <w:t>course</w:t>
      </w:r>
      <w:r w:rsidRPr="00F621D4">
        <w:rPr>
          <w:rFonts w:ascii="Humnst777 BT" w:eastAsia="Humnst777 BT" w:hAnsi="Humnst777 BT" w:cs="Humnst777 BT"/>
          <w:color w:val="4472C4" w:themeColor="accent5"/>
          <w:sz w:val="20"/>
          <w:szCs w:val="20"/>
        </w:rPr>
        <w:t xml:space="preserve"> requires special regulations, you should consult with your Faculty Director of Quality as soon as possible, as these will need to be </w:t>
      </w:r>
      <w:r w:rsidR="00C65C39" w:rsidRPr="00F621D4">
        <w:rPr>
          <w:rFonts w:ascii="Humnst777 BT" w:eastAsia="Humnst777 BT" w:hAnsi="Humnst777 BT" w:cs="Humnst777 BT"/>
          <w:color w:val="4472C4" w:themeColor="accent5"/>
          <w:sz w:val="20"/>
          <w:szCs w:val="20"/>
        </w:rPr>
        <w:t xml:space="preserve">approved by the Academic Board prior to </w:t>
      </w:r>
      <w:r w:rsidR="0014023B" w:rsidRPr="00F621D4">
        <w:rPr>
          <w:rFonts w:ascii="Humnst777 BT" w:eastAsia="Humnst777 BT" w:hAnsi="Humnst777 BT" w:cs="Humnst777 BT"/>
          <w:color w:val="4472C4" w:themeColor="accent5"/>
          <w:sz w:val="20"/>
          <w:szCs w:val="20"/>
        </w:rPr>
        <w:t xml:space="preserve">course </w:t>
      </w:r>
      <w:r w:rsidR="00C65C39" w:rsidRPr="00F621D4">
        <w:rPr>
          <w:rFonts w:ascii="Humnst777 BT" w:eastAsia="Humnst777 BT" w:hAnsi="Humnst777 BT" w:cs="Humnst777 BT"/>
          <w:color w:val="4472C4" w:themeColor="accent5"/>
          <w:sz w:val="20"/>
          <w:szCs w:val="20"/>
        </w:rPr>
        <w:t>approval.</w:t>
      </w:r>
    </w:p>
    <w:p w14:paraId="5C9AEE89" w14:textId="77777777" w:rsidR="00F76924" w:rsidRPr="00F621D4" w:rsidRDefault="00F76924" w:rsidP="00F76924">
      <w:pPr>
        <w:spacing w:after="0"/>
        <w:ind w:left="426"/>
        <w:jc w:val="both"/>
        <w:rPr>
          <w:rFonts w:ascii="Humnst777 BT" w:eastAsia="Humnst777 BT" w:hAnsi="Humnst777 BT" w:cs="Humnst777 BT"/>
          <w:color w:val="4472C4" w:themeColor="accent5"/>
          <w:sz w:val="20"/>
          <w:szCs w:val="20"/>
        </w:rPr>
      </w:pPr>
    </w:p>
    <w:p w14:paraId="5E17A5E5" w14:textId="77777777" w:rsidR="00035B91" w:rsidRPr="00F76924" w:rsidRDefault="00035B91" w:rsidP="00F76924">
      <w:pPr>
        <w:spacing w:after="0"/>
        <w:ind w:left="426" w:hanging="284"/>
        <w:jc w:val="both"/>
        <w:rPr>
          <w:rFonts w:ascii="Humnst777 BT" w:eastAsia="Humnst777 BT" w:hAnsi="Humnst777 BT" w:cs="Humnst777 BT"/>
          <w:b/>
          <w:bCs/>
          <w:color w:val="4472C4" w:themeColor="accent5"/>
          <w:sz w:val="20"/>
          <w:szCs w:val="20"/>
        </w:rPr>
      </w:pPr>
      <w:r w:rsidRPr="00F76924">
        <w:rPr>
          <w:rFonts w:ascii="Humnst777 BT" w:eastAsia="Humnst777 BT" w:hAnsi="Humnst777 BT" w:cs="Humnst777 BT"/>
          <w:b/>
          <w:bCs/>
          <w:color w:val="4472C4" w:themeColor="accent5"/>
          <w:sz w:val="20"/>
          <w:szCs w:val="20"/>
        </w:rPr>
        <w:t>A note on Tier 4 (International, non-EU Students)</w:t>
      </w:r>
    </w:p>
    <w:p w14:paraId="4C44325C" w14:textId="26DF7040" w:rsidR="00035B91" w:rsidRPr="00F621D4" w:rsidRDefault="00035B91" w:rsidP="00F76924">
      <w:pPr>
        <w:spacing w:after="0"/>
        <w:ind w:left="142"/>
        <w:jc w:val="both"/>
        <w:rPr>
          <w:b/>
          <w:color w:val="4472C4" w:themeColor="accent5"/>
          <w:sz w:val="20"/>
          <w:szCs w:val="20"/>
        </w:rPr>
      </w:pPr>
      <w:r w:rsidRPr="00F76924">
        <w:rPr>
          <w:rFonts w:ascii="Humnst777 BT" w:eastAsia="Humnst777 BT" w:hAnsi="Humnst777 BT" w:cs="Humnst777 BT"/>
          <w:color w:val="4472C4" w:themeColor="accent5"/>
          <w:sz w:val="20"/>
          <w:szCs w:val="20"/>
        </w:rPr>
        <w:t xml:space="preserve">It is essential that </w:t>
      </w:r>
      <w:r w:rsidR="0014023B" w:rsidRPr="00F76924">
        <w:rPr>
          <w:rFonts w:ascii="Humnst777 BT" w:eastAsia="Humnst777 BT" w:hAnsi="Humnst777 BT" w:cs="Humnst777 BT"/>
          <w:color w:val="4472C4" w:themeColor="accent5"/>
          <w:sz w:val="20"/>
          <w:szCs w:val="20"/>
        </w:rPr>
        <w:t xml:space="preserve">courses </w:t>
      </w:r>
      <w:r w:rsidRPr="00F76924">
        <w:rPr>
          <w:rFonts w:ascii="Humnst777 BT" w:eastAsia="Humnst777 BT" w:hAnsi="Humnst777 BT" w:cs="Humnst777 BT"/>
          <w:color w:val="4472C4" w:themeColor="accent5"/>
          <w:sz w:val="20"/>
          <w:szCs w:val="20"/>
        </w:rPr>
        <w:t>of study do not lead the University to breach Immigration legislation and UKVI guidance or lead Tier 4 (International, non-EU) students to breach the terms of their visas.  In particular, it should be noted that:</w:t>
      </w:r>
    </w:p>
    <w:p w14:paraId="6F4CCA09" w14:textId="77777777" w:rsidR="00035B91" w:rsidRPr="00F621D4" w:rsidRDefault="00035B91"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Tier 4 students must study full time </w:t>
      </w:r>
    </w:p>
    <w:p w14:paraId="6FEFBA92" w14:textId="77777777" w:rsidR="00035B91" w:rsidRPr="00F621D4" w:rsidRDefault="00035B91"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there is a requirement to monitor Tier 4 student attendance</w:t>
      </w:r>
    </w:p>
    <w:p w14:paraId="5AD56441" w14:textId="77777777" w:rsidR="00035B91" w:rsidRPr="00F621D4" w:rsidRDefault="00035B91"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there is a requirement for supervision during the conduct of any individual study</w:t>
      </w:r>
    </w:p>
    <w:p w14:paraId="47C2F44B" w14:textId="220989A6" w:rsidR="00035B91" w:rsidRPr="00F76924" w:rsidRDefault="00035B91" w:rsidP="00F76924">
      <w:pPr>
        <w:pStyle w:val="ListParagraph"/>
        <w:numPr>
          <w:ilvl w:val="0"/>
          <w:numId w:val="2"/>
        </w:numPr>
        <w:autoSpaceDE w:val="0"/>
        <w:autoSpaceDN w:val="0"/>
        <w:adjustRightInd w:val="0"/>
        <w:spacing w:after="0" w:line="240" w:lineRule="auto"/>
        <w:ind w:left="426" w:hanging="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there may be visa implications should a Tier 4 student leave the UK for placement or for research activities during his or her </w:t>
      </w:r>
      <w:r w:rsidR="0014023B"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of study.</w:t>
      </w:r>
    </w:p>
    <w:p w14:paraId="565964B8" w14:textId="460043F2" w:rsidR="00035B91" w:rsidRDefault="0014023B" w:rsidP="00F76924">
      <w:pPr>
        <w:spacing w:after="0"/>
        <w:ind w:left="142"/>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Course </w:t>
      </w:r>
      <w:r w:rsidR="00035B91" w:rsidRPr="00F621D4">
        <w:rPr>
          <w:rFonts w:ascii="Humnst777 BT" w:eastAsia="Humnst777 BT" w:hAnsi="Humnst777 BT" w:cs="Humnst777 BT"/>
          <w:color w:val="4472C4" w:themeColor="accent5"/>
          <w:sz w:val="20"/>
          <w:szCs w:val="20"/>
        </w:rPr>
        <w:t xml:space="preserve">teams should consult with the Immigration Compliance Manager if their </w:t>
      </w:r>
      <w:r w:rsidR="004A11CB" w:rsidRPr="00F621D4">
        <w:rPr>
          <w:rFonts w:ascii="Humnst777 BT" w:eastAsia="Humnst777 BT" w:hAnsi="Humnst777 BT" w:cs="Humnst777 BT"/>
          <w:color w:val="4472C4" w:themeColor="accent5"/>
          <w:sz w:val="20"/>
          <w:szCs w:val="20"/>
        </w:rPr>
        <w:t>course</w:t>
      </w:r>
      <w:r w:rsidR="00035B91" w:rsidRPr="00F621D4">
        <w:rPr>
          <w:rFonts w:ascii="Humnst777 BT" w:eastAsia="Humnst777 BT" w:hAnsi="Humnst777 BT" w:cs="Humnst777 BT"/>
          <w:color w:val="4472C4" w:themeColor="accent5"/>
          <w:sz w:val="20"/>
          <w:szCs w:val="20"/>
        </w:rPr>
        <w:t xml:space="preserve"> is likely to be open to Tier 4 students.</w:t>
      </w:r>
    </w:p>
    <w:p w14:paraId="133B822B" w14:textId="77777777" w:rsidR="00F76924" w:rsidRPr="00F76924" w:rsidRDefault="00F76924" w:rsidP="00F76924">
      <w:pPr>
        <w:spacing w:after="0"/>
        <w:ind w:left="142"/>
        <w:jc w:val="both"/>
        <w:rPr>
          <w:rFonts w:ascii="Humnst777 BT" w:eastAsia="Humnst777 BT" w:hAnsi="Humnst777 BT" w:cs="Humnst777 BT"/>
          <w:color w:val="4472C4" w:themeColor="accent5"/>
          <w:sz w:val="20"/>
          <w:szCs w:val="20"/>
        </w:rPr>
      </w:pPr>
    </w:p>
    <w:p w14:paraId="1106FABF" w14:textId="03C15DA1" w:rsidR="00D70865" w:rsidRPr="00F621D4" w:rsidRDefault="007A7687" w:rsidP="00F621D4">
      <w:pPr>
        <w:pStyle w:val="Heading3"/>
        <w:keepNext w:val="0"/>
        <w:widowControl w:val="0"/>
        <w:numPr>
          <w:ilvl w:val="0"/>
          <w:numId w:val="14"/>
        </w:numPr>
        <w:spacing w:after="0"/>
        <w:ind w:left="426"/>
        <w:rPr>
          <w:sz w:val="20"/>
          <w:szCs w:val="20"/>
        </w:rPr>
      </w:pPr>
      <w:r w:rsidRPr="00F621D4">
        <w:rPr>
          <w:sz w:val="20"/>
          <w:szCs w:val="20"/>
        </w:rPr>
        <w:t xml:space="preserve">General introduction to the </w:t>
      </w:r>
      <w:r w:rsidR="0014023B" w:rsidRPr="00F621D4">
        <w:rPr>
          <w:sz w:val="20"/>
          <w:szCs w:val="20"/>
        </w:rPr>
        <w:t>course</w:t>
      </w:r>
    </w:p>
    <w:p w14:paraId="166536BB" w14:textId="77777777" w:rsidR="003D16D6" w:rsidRDefault="003D16D6" w:rsidP="00F76924">
      <w:pPr>
        <w:pStyle w:val="PlainText"/>
        <w:ind w:left="426"/>
        <w:jc w:val="both"/>
        <w:rPr>
          <w:rFonts w:ascii="Humnst777 BT" w:eastAsia="Humnst777 BT" w:hAnsi="Humnst777 BT" w:cs="Humnst777 BT"/>
          <w:color w:val="4472C4" w:themeColor="accent5"/>
          <w:sz w:val="20"/>
          <w:szCs w:val="20"/>
        </w:rPr>
      </w:pPr>
    </w:p>
    <w:p w14:paraId="5F459AD0" w14:textId="0EA2CB7D" w:rsidR="00F76924" w:rsidRDefault="007A7687" w:rsidP="00F76924">
      <w:pPr>
        <w:pStyle w:val="PlainText"/>
        <w:ind w:left="426"/>
        <w:jc w:val="both"/>
        <w:rPr>
          <w:color w:val="4472C4" w:themeColor="accent5"/>
          <w:sz w:val="20"/>
          <w:szCs w:val="20"/>
        </w:rPr>
      </w:pPr>
      <w:r w:rsidRPr="00F621D4">
        <w:rPr>
          <w:rFonts w:ascii="Humnst777 BT" w:eastAsia="Humnst777 BT" w:hAnsi="Humnst777 BT" w:cs="Humnst777 BT"/>
          <w:color w:val="4472C4" w:themeColor="accent5"/>
          <w:sz w:val="20"/>
          <w:szCs w:val="20"/>
        </w:rPr>
        <w:t xml:space="preserve">Use this section to identify the reasons why a student might like to study this </w:t>
      </w:r>
      <w:r w:rsidR="0014023B"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 xml:space="preserve">or what specific benefits successful completion of the </w:t>
      </w:r>
      <w:r w:rsidR="0014023B"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 xml:space="preserve">might have, such as professional body membership or specialist skills.  If the </w:t>
      </w:r>
      <w:r w:rsidR="0014023B"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helps students acquire specialist knowledge, it may be helpful to identify what a "typical student" may go on to do.</w:t>
      </w:r>
      <w:r w:rsidR="00F76924">
        <w:rPr>
          <w:rFonts w:ascii="Humnst777 BT" w:eastAsia="Humnst777 BT" w:hAnsi="Humnst777 BT" w:cs="Humnst777 BT"/>
          <w:color w:val="4472C4" w:themeColor="accent5"/>
          <w:sz w:val="20"/>
          <w:szCs w:val="20"/>
        </w:rPr>
        <w:t xml:space="preserve"> </w:t>
      </w:r>
      <w:r w:rsidR="00543AEE" w:rsidRPr="00F76924">
        <w:rPr>
          <w:rFonts w:ascii="Humnst777 BT" w:eastAsia="Humnst777 BT" w:hAnsi="Humnst777 BT" w:cs="Humnst777 BT"/>
          <w:color w:val="4472C4" w:themeColor="accent5"/>
          <w:sz w:val="20"/>
          <w:szCs w:val="20"/>
        </w:rPr>
        <w:t xml:space="preserve">The </w:t>
      </w:r>
      <w:r w:rsidR="0014023B" w:rsidRPr="00F76924">
        <w:rPr>
          <w:rFonts w:ascii="Humnst777 BT" w:eastAsia="Humnst777 BT" w:hAnsi="Humnst777 BT" w:cs="Humnst777 BT"/>
          <w:color w:val="4472C4" w:themeColor="accent5"/>
          <w:sz w:val="20"/>
          <w:szCs w:val="20"/>
        </w:rPr>
        <w:t xml:space="preserve">Course </w:t>
      </w:r>
      <w:r w:rsidR="00543AEE" w:rsidRPr="00F76924">
        <w:rPr>
          <w:rFonts w:ascii="Humnst777 BT" w:eastAsia="Humnst777 BT" w:hAnsi="Humnst777 BT" w:cs="Humnst777 BT"/>
          <w:color w:val="4472C4" w:themeColor="accent5"/>
          <w:sz w:val="20"/>
          <w:szCs w:val="20"/>
        </w:rPr>
        <w:t>Specification</w:t>
      </w:r>
      <w:r w:rsidR="006726E9" w:rsidRPr="00F76924">
        <w:rPr>
          <w:rFonts w:ascii="Humnst777 BT" w:eastAsia="Humnst777 BT" w:hAnsi="Humnst777 BT" w:cs="Humnst777 BT"/>
          <w:color w:val="4472C4" w:themeColor="accent5"/>
          <w:sz w:val="20"/>
          <w:szCs w:val="20"/>
        </w:rPr>
        <w:t xml:space="preserve"> (parts </w:t>
      </w:r>
      <w:r w:rsidR="006726E9" w:rsidRPr="00F76924">
        <w:rPr>
          <w:rFonts w:ascii="Humnst777 BT" w:eastAsia="Humnst777 BT" w:hAnsi="Humnst777 BT" w:cs="Humnst777 BT"/>
          <w:color w:val="4472C4" w:themeColor="accent5"/>
          <w:sz w:val="20"/>
          <w:szCs w:val="20"/>
        </w:rPr>
        <w:lastRenderedPageBreak/>
        <w:t>1 and 2 of the Planning Proposal)</w:t>
      </w:r>
      <w:r w:rsidR="00543AEE" w:rsidRPr="00F76924">
        <w:rPr>
          <w:rFonts w:ascii="Humnst777 BT" w:eastAsia="Humnst777 BT" w:hAnsi="Humnst777 BT" w:cs="Humnst777 BT"/>
          <w:color w:val="4472C4" w:themeColor="accent5"/>
          <w:sz w:val="20"/>
          <w:szCs w:val="20"/>
        </w:rPr>
        <w:t xml:space="preserve"> carries detailed information and must be read with this document.</w:t>
      </w:r>
      <w:r w:rsidR="00543AEE" w:rsidRPr="00F621D4">
        <w:rPr>
          <w:color w:val="4472C4" w:themeColor="accent5"/>
          <w:sz w:val="20"/>
          <w:szCs w:val="20"/>
        </w:rPr>
        <w:t xml:space="preserve"> </w:t>
      </w:r>
    </w:p>
    <w:p w14:paraId="0184A461" w14:textId="77777777" w:rsidR="00F76924" w:rsidRPr="00F76924" w:rsidRDefault="00F76924" w:rsidP="00F76924">
      <w:pPr>
        <w:pStyle w:val="PlainText"/>
        <w:ind w:left="426"/>
        <w:jc w:val="both"/>
        <w:rPr>
          <w:color w:val="4472C4" w:themeColor="accent5"/>
          <w:sz w:val="20"/>
          <w:szCs w:val="20"/>
        </w:rPr>
      </w:pPr>
    </w:p>
    <w:p w14:paraId="76839294" w14:textId="0F1F182A" w:rsidR="00B7145B" w:rsidRPr="00F621D4" w:rsidRDefault="00B7145B" w:rsidP="00F621D4">
      <w:pPr>
        <w:pStyle w:val="ListParagraph"/>
        <w:numPr>
          <w:ilvl w:val="0"/>
          <w:numId w:val="11"/>
        </w:numPr>
        <w:tabs>
          <w:tab w:val="right" w:pos="7920"/>
        </w:tabs>
        <w:spacing w:before="80" w:after="0"/>
        <w:ind w:left="284"/>
        <w:jc w:val="both"/>
        <w:rPr>
          <w:rFonts w:ascii="Humnst777 BT" w:eastAsia="Humnst777 BT" w:hAnsi="Humnst777 BT" w:cs="Humnst777 BT"/>
          <w:b/>
          <w:sz w:val="20"/>
          <w:szCs w:val="20"/>
        </w:rPr>
      </w:pPr>
      <w:r w:rsidRPr="00F621D4">
        <w:rPr>
          <w:rFonts w:ascii="Humnst777 BT" w:eastAsia="Humnst777 BT" w:hAnsi="Humnst777 BT" w:cs="Humnst777 BT"/>
          <w:b/>
          <w:sz w:val="20"/>
          <w:szCs w:val="20"/>
        </w:rPr>
        <w:t>Annual Calendar</w:t>
      </w:r>
    </w:p>
    <w:p w14:paraId="1DF7FA34" w14:textId="77777777" w:rsidR="003D16D6" w:rsidRDefault="003D16D6" w:rsidP="00F621D4">
      <w:pPr>
        <w:pStyle w:val="PlainText"/>
        <w:ind w:left="284"/>
        <w:jc w:val="both"/>
        <w:rPr>
          <w:rFonts w:ascii="Humnst777 BT" w:eastAsia="Humnst777 BT" w:hAnsi="Humnst777 BT" w:cs="Humnst777 BT"/>
          <w:color w:val="4472C4" w:themeColor="accent5"/>
          <w:sz w:val="20"/>
          <w:szCs w:val="20"/>
        </w:rPr>
      </w:pPr>
    </w:p>
    <w:p w14:paraId="5CC338EA" w14:textId="43F15FE0" w:rsidR="007C778B" w:rsidRDefault="00B7145B" w:rsidP="00F621D4">
      <w:pPr>
        <w:pStyle w:val="PlainText"/>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Please</w:t>
      </w:r>
      <w:r w:rsidR="003E7F9D" w:rsidRPr="00F621D4">
        <w:rPr>
          <w:rFonts w:ascii="Humnst777 BT" w:eastAsia="Humnst777 BT" w:hAnsi="Humnst777 BT" w:cs="Humnst777 BT"/>
          <w:color w:val="4472C4" w:themeColor="accent5"/>
          <w:sz w:val="20"/>
          <w:szCs w:val="20"/>
        </w:rPr>
        <w:t xml:space="preserve"> confirm </w:t>
      </w:r>
      <w:r w:rsidR="008E34CA" w:rsidRPr="00F621D4">
        <w:rPr>
          <w:rFonts w:ascii="Humnst777 BT" w:eastAsia="Humnst777 BT" w:hAnsi="Humnst777 BT" w:cs="Humnst777 BT"/>
          <w:color w:val="4472C4" w:themeColor="accent5"/>
          <w:sz w:val="20"/>
          <w:szCs w:val="20"/>
        </w:rPr>
        <w:t>the</w:t>
      </w:r>
      <w:r w:rsidR="007C778B">
        <w:rPr>
          <w:rFonts w:ascii="Humnst777 BT" w:eastAsia="Humnst777 BT" w:hAnsi="Humnst777 BT" w:cs="Humnst777 BT"/>
          <w:color w:val="4472C4" w:themeColor="accent5"/>
          <w:sz w:val="20"/>
          <w:szCs w:val="20"/>
        </w:rPr>
        <w:t xml:space="preserve"> following:</w:t>
      </w:r>
      <w:r w:rsidR="008E34CA" w:rsidRPr="00F621D4">
        <w:rPr>
          <w:rFonts w:ascii="Humnst777 BT" w:eastAsia="Humnst777 BT" w:hAnsi="Humnst777 BT" w:cs="Humnst777 BT"/>
          <w:color w:val="4472C4" w:themeColor="accent5"/>
          <w:sz w:val="20"/>
          <w:szCs w:val="20"/>
        </w:rPr>
        <w:t xml:space="preserve"> </w:t>
      </w:r>
    </w:p>
    <w:p w14:paraId="2BCEF270" w14:textId="77777777" w:rsidR="007C778B" w:rsidRDefault="007C778B" w:rsidP="004D2EA5">
      <w:pPr>
        <w:pStyle w:val="PlainText"/>
        <w:numPr>
          <w:ilvl w:val="0"/>
          <w:numId w:val="25"/>
        </w:numPr>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D</w:t>
      </w:r>
      <w:r w:rsidR="008E34CA" w:rsidRPr="00F621D4">
        <w:rPr>
          <w:rFonts w:ascii="Humnst777 BT" w:eastAsia="Humnst777 BT" w:hAnsi="Humnst777 BT" w:cs="Humnst777 BT"/>
          <w:color w:val="4472C4" w:themeColor="accent5"/>
          <w:sz w:val="20"/>
          <w:szCs w:val="20"/>
        </w:rPr>
        <w:t>elivery calendar for the course</w:t>
      </w:r>
      <w:r w:rsidR="00682757" w:rsidRPr="00F621D4">
        <w:rPr>
          <w:rFonts w:ascii="Humnst777 BT" w:eastAsia="Humnst777 BT" w:hAnsi="Humnst777 BT" w:cs="Humnst777 BT"/>
          <w:color w:val="4472C4" w:themeColor="accent5"/>
          <w:sz w:val="20"/>
          <w:szCs w:val="20"/>
        </w:rPr>
        <w:t>, for both full time and part time.</w:t>
      </w:r>
      <w:r>
        <w:rPr>
          <w:rFonts w:ascii="Humnst777 BT" w:eastAsia="Humnst777 BT" w:hAnsi="Humnst777 BT" w:cs="Humnst777 BT"/>
          <w:color w:val="4472C4" w:themeColor="accent5"/>
          <w:sz w:val="20"/>
          <w:szCs w:val="20"/>
        </w:rPr>
        <w:t xml:space="preserve"> </w:t>
      </w:r>
    </w:p>
    <w:p w14:paraId="2135E2EF" w14:textId="72209A28" w:rsidR="00F621D4" w:rsidRPr="007C778B" w:rsidRDefault="007C778B" w:rsidP="004D2EA5">
      <w:pPr>
        <w:pStyle w:val="PlainText"/>
        <w:numPr>
          <w:ilvl w:val="0"/>
          <w:numId w:val="25"/>
        </w:numPr>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Whether</w:t>
      </w:r>
      <w:r w:rsidR="00682757" w:rsidRPr="007C778B">
        <w:rPr>
          <w:rFonts w:ascii="Humnst777 BT" w:eastAsia="Humnst777 BT" w:hAnsi="Humnst777 BT" w:cs="Humnst777 BT"/>
          <w:color w:val="4472C4" w:themeColor="accent5"/>
          <w:sz w:val="20"/>
          <w:szCs w:val="20"/>
        </w:rPr>
        <w:t xml:space="preserve"> the course requires a calendar exception</w:t>
      </w:r>
      <w:r>
        <w:rPr>
          <w:rFonts w:ascii="Humnst777 BT" w:eastAsia="Humnst777 BT" w:hAnsi="Humnst777 BT" w:cs="Humnst777 BT"/>
          <w:color w:val="4472C4" w:themeColor="accent5"/>
          <w:sz w:val="20"/>
          <w:szCs w:val="20"/>
        </w:rPr>
        <w:t>. If so,</w:t>
      </w:r>
      <w:r w:rsidR="00682757" w:rsidRPr="007C778B">
        <w:rPr>
          <w:rFonts w:ascii="Humnst777 BT" w:eastAsia="Humnst777 BT" w:hAnsi="Humnst777 BT" w:cs="Humnst777 BT"/>
          <w:color w:val="4472C4" w:themeColor="accent5"/>
          <w:sz w:val="20"/>
          <w:szCs w:val="20"/>
        </w:rPr>
        <w:t xml:space="preserve"> include the </w:t>
      </w:r>
      <w:r w:rsidR="001A6A27" w:rsidRPr="007C778B">
        <w:rPr>
          <w:rFonts w:ascii="Humnst777 BT" w:eastAsia="Humnst777 BT" w:hAnsi="Humnst777 BT" w:cs="Humnst777 BT"/>
          <w:color w:val="4472C4" w:themeColor="accent5"/>
          <w:sz w:val="20"/>
          <w:szCs w:val="20"/>
        </w:rPr>
        <w:t>full calendar here, including</w:t>
      </w:r>
      <w:r w:rsidR="00B7145B" w:rsidRPr="007C778B">
        <w:rPr>
          <w:rFonts w:ascii="Humnst777 BT" w:eastAsia="Humnst777 BT" w:hAnsi="Humnst777 BT" w:cs="Humnst777 BT"/>
          <w:color w:val="4472C4" w:themeColor="accent5"/>
          <w:sz w:val="20"/>
          <w:szCs w:val="20"/>
        </w:rPr>
        <w:t xml:space="preserve"> start and end dates; module sequence; detailed assessment deadlines for each assessment; reassessments; meetings of boards of examiners. </w:t>
      </w:r>
    </w:p>
    <w:p w14:paraId="5AC58C41" w14:textId="28D087B1" w:rsidR="001B676C" w:rsidRDefault="001B676C" w:rsidP="00F76924">
      <w:pPr>
        <w:pStyle w:val="PlainText"/>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All apprenticeship </w:t>
      </w:r>
      <w:r w:rsidR="007C778B">
        <w:rPr>
          <w:rFonts w:ascii="Humnst777 BT" w:eastAsia="Humnst777 BT" w:hAnsi="Humnst777 BT" w:cs="Humnst777 BT"/>
          <w:color w:val="4472C4" w:themeColor="accent5"/>
          <w:sz w:val="20"/>
          <w:szCs w:val="20"/>
        </w:rPr>
        <w:t>courses</w:t>
      </w:r>
      <w:r w:rsidRPr="00F621D4">
        <w:rPr>
          <w:rFonts w:ascii="Humnst777 BT" w:eastAsia="Humnst777 BT" w:hAnsi="Humnst777 BT" w:cs="Humnst777 BT"/>
          <w:color w:val="4472C4" w:themeColor="accent5"/>
          <w:sz w:val="20"/>
          <w:szCs w:val="20"/>
        </w:rPr>
        <w:t xml:space="preserve"> </w:t>
      </w:r>
      <w:r w:rsidR="00B73BE5">
        <w:rPr>
          <w:rFonts w:ascii="Humnst777 BT" w:eastAsia="Humnst777 BT" w:hAnsi="Humnst777 BT" w:cs="Humnst777 BT"/>
          <w:color w:val="4472C4" w:themeColor="accent5"/>
          <w:sz w:val="20"/>
          <w:szCs w:val="20"/>
        </w:rPr>
        <w:t>will follow an appropriate academic calendar agreed with the Director of Curriculum and Deputy Academic Registrar.</w:t>
      </w:r>
    </w:p>
    <w:p w14:paraId="42BBEF5F" w14:textId="40D98962" w:rsidR="00F76924" w:rsidRDefault="00F76924" w:rsidP="00F76924">
      <w:pPr>
        <w:pStyle w:val="PlainText"/>
        <w:ind w:left="284"/>
        <w:jc w:val="both"/>
        <w:rPr>
          <w:rFonts w:ascii="Humnst777 BT" w:eastAsia="Humnst777 BT" w:hAnsi="Humnst777 BT" w:cs="Humnst777 BT"/>
          <w:color w:val="4472C4" w:themeColor="accent5"/>
          <w:sz w:val="20"/>
          <w:szCs w:val="20"/>
        </w:rPr>
      </w:pPr>
    </w:p>
    <w:p w14:paraId="74784A2B" w14:textId="61937D91" w:rsidR="007C778B" w:rsidRDefault="007C778B" w:rsidP="00F76924">
      <w:pPr>
        <w:pStyle w:val="PlainText"/>
        <w:ind w:left="284"/>
        <w:jc w:val="both"/>
        <w:rPr>
          <w:rFonts w:ascii="Humnst777 BT" w:eastAsia="Humnst777 BT" w:hAnsi="Humnst777 BT" w:cs="Humnst777 BT"/>
          <w:color w:val="4472C4" w:themeColor="accent5"/>
          <w:sz w:val="20"/>
          <w:szCs w:val="20"/>
        </w:rPr>
      </w:pPr>
      <w:r w:rsidRPr="007C778B">
        <w:rPr>
          <w:rFonts w:ascii="Humnst777 BT" w:eastAsia="Humnst777 BT" w:hAnsi="Humnst777 BT" w:cs="Humnst777 BT"/>
          <w:i/>
          <w:iCs/>
          <w:color w:val="4472C4" w:themeColor="accent5"/>
          <w:sz w:val="20"/>
          <w:szCs w:val="20"/>
        </w:rPr>
        <w:t>Please note that any variation to a formally approved University calendar must be approved by the Academic Strategy Committee, through an exception request.</w:t>
      </w:r>
      <w:r>
        <w:rPr>
          <w:rFonts w:ascii="Humnst777 BT" w:eastAsia="Humnst777 BT" w:hAnsi="Humnst777 BT" w:cs="Humnst777 BT"/>
          <w:i/>
          <w:iCs/>
          <w:color w:val="4472C4" w:themeColor="accent5"/>
          <w:sz w:val="20"/>
          <w:szCs w:val="20"/>
        </w:rPr>
        <w:t xml:space="preserve"> </w:t>
      </w:r>
      <w:r w:rsidRPr="007C778B">
        <w:rPr>
          <w:rFonts w:ascii="Humnst777 BT" w:eastAsia="Humnst777 BT" w:hAnsi="Humnst777 BT" w:cs="Humnst777 BT"/>
          <w:i/>
          <w:iCs/>
          <w:color w:val="4472C4" w:themeColor="accent5"/>
          <w:sz w:val="20"/>
          <w:szCs w:val="20"/>
        </w:rPr>
        <w:t>This information will be used to ensure that assessments are properly sequenced, delivery clarity and the information can be clearly used for curriculum setup.</w:t>
      </w:r>
    </w:p>
    <w:p w14:paraId="47D4FCE7" w14:textId="77777777" w:rsidR="007C778B" w:rsidRPr="00F621D4" w:rsidRDefault="007C778B" w:rsidP="00F76924">
      <w:pPr>
        <w:pStyle w:val="PlainText"/>
        <w:ind w:left="284"/>
        <w:jc w:val="both"/>
        <w:rPr>
          <w:rFonts w:ascii="Humnst777 BT" w:eastAsia="Humnst777 BT" w:hAnsi="Humnst777 BT" w:cs="Humnst777 BT"/>
          <w:color w:val="4472C4" w:themeColor="accent5"/>
          <w:sz w:val="20"/>
          <w:szCs w:val="20"/>
        </w:rPr>
      </w:pPr>
    </w:p>
    <w:p w14:paraId="24356D54" w14:textId="49B9C5F4" w:rsidR="00B7145B" w:rsidRPr="00F621D4" w:rsidRDefault="00FC6EEE" w:rsidP="00F621D4">
      <w:pPr>
        <w:pStyle w:val="Heading3"/>
        <w:numPr>
          <w:ilvl w:val="0"/>
          <w:numId w:val="11"/>
        </w:numPr>
        <w:spacing w:before="0" w:after="0"/>
        <w:ind w:left="284"/>
        <w:rPr>
          <w:sz w:val="20"/>
          <w:szCs w:val="20"/>
        </w:rPr>
      </w:pPr>
      <w:r w:rsidRPr="00F621D4">
        <w:rPr>
          <w:sz w:val="20"/>
          <w:szCs w:val="20"/>
        </w:rPr>
        <w:t>Course</w:t>
      </w:r>
      <w:r w:rsidR="00B7145B" w:rsidRPr="00F621D4">
        <w:rPr>
          <w:sz w:val="20"/>
          <w:szCs w:val="20"/>
        </w:rPr>
        <w:t xml:space="preserve"> Structure</w:t>
      </w:r>
    </w:p>
    <w:p w14:paraId="22685F91" w14:textId="77777777" w:rsidR="003D16D6" w:rsidRDefault="003D16D6" w:rsidP="00F621D4">
      <w:pPr>
        <w:tabs>
          <w:tab w:val="right" w:pos="7920"/>
        </w:tabs>
        <w:spacing w:after="0"/>
        <w:ind w:left="284"/>
        <w:jc w:val="both"/>
        <w:rPr>
          <w:rFonts w:ascii="Humnst777 BT" w:eastAsia="Humnst777 BT" w:hAnsi="Humnst777 BT" w:cs="Humnst777 BT"/>
          <w:color w:val="4472C4" w:themeColor="accent5"/>
          <w:sz w:val="20"/>
          <w:szCs w:val="20"/>
        </w:rPr>
      </w:pPr>
    </w:p>
    <w:p w14:paraId="30AFF25A" w14:textId="4D4670F6" w:rsidR="00B7145B" w:rsidRPr="00F621D4" w:rsidRDefault="00B7145B" w:rsidP="00F621D4">
      <w:pPr>
        <w:tabs>
          <w:tab w:val="right" w:pos="7920"/>
        </w:tabs>
        <w:spacing w:after="0"/>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provide </w:t>
      </w:r>
      <w:r w:rsidR="00F621D4">
        <w:rPr>
          <w:rFonts w:ascii="Humnst777 BT" w:eastAsia="Humnst777 BT" w:hAnsi="Humnst777 BT" w:cs="Humnst777 BT"/>
          <w:color w:val="4472C4" w:themeColor="accent5"/>
          <w:sz w:val="20"/>
          <w:szCs w:val="20"/>
        </w:rPr>
        <w:t>the following information:</w:t>
      </w:r>
    </w:p>
    <w:p w14:paraId="179300B5" w14:textId="704A8E1D" w:rsidR="00A920C4" w:rsidRPr="00F76924" w:rsidRDefault="00F621D4" w:rsidP="00F76924">
      <w:pPr>
        <w:pStyle w:val="ListParagraph"/>
        <w:numPr>
          <w:ilvl w:val="0"/>
          <w:numId w:val="21"/>
        </w:numPr>
        <w:autoSpaceDE w:val="0"/>
        <w:autoSpaceDN w:val="0"/>
        <w:adjustRightInd w:val="0"/>
        <w:spacing w:after="0" w:line="240" w:lineRule="auto"/>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A</w:t>
      </w:r>
      <w:r w:rsidR="00B7145B" w:rsidRPr="00F621D4">
        <w:rPr>
          <w:rFonts w:ascii="Humnst777 BT" w:eastAsia="Humnst777 BT" w:hAnsi="Humnst777 BT" w:cs="Humnst777 BT"/>
          <w:color w:val="4472C4" w:themeColor="accent5"/>
          <w:sz w:val="20"/>
          <w:szCs w:val="20"/>
        </w:rPr>
        <w:t xml:space="preserve"> diagrammatic overview of the </w:t>
      </w:r>
      <w:r w:rsidR="00FC6EEE" w:rsidRPr="00F621D4">
        <w:rPr>
          <w:rFonts w:ascii="Humnst777 BT" w:eastAsia="Humnst777 BT" w:hAnsi="Humnst777 BT" w:cs="Humnst777 BT"/>
          <w:color w:val="4472C4" w:themeColor="accent5"/>
          <w:sz w:val="20"/>
          <w:szCs w:val="20"/>
        </w:rPr>
        <w:t xml:space="preserve">course </w:t>
      </w:r>
      <w:r w:rsidR="00B7145B" w:rsidRPr="00F621D4">
        <w:rPr>
          <w:rFonts w:ascii="Humnst777 BT" w:eastAsia="Humnst777 BT" w:hAnsi="Humnst777 BT" w:cs="Humnst777 BT"/>
          <w:color w:val="4472C4" w:themeColor="accent5"/>
          <w:sz w:val="20"/>
          <w:szCs w:val="20"/>
        </w:rPr>
        <w:t xml:space="preserve">structure to explain how students will progress through the </w:t>
      </w:r>
      <w:r w:rsidR="00FC6EEE" w:rsidRPr="00F621D4">
        <w:rPr>
          <w:rFonts w:ascii="Humnst777 BT" w:eastAsia="Humnst777 BT" w:hAnsi="Humnst777 BT" w:cs="Humnst777 BT"/>
          <w:color w:val="4472C4" w:themeColor="accent5"/>
          <w:sz w:val="20"/>
          <w:szCs w:val="20"/>
        </w:rPr>
        <w:t>course</w:t>
      </w:r>
      <w:r w:rsidR="00F76924">
        <w:rPr>
          <w:rFonts w:ascii="Humnst777 BT" w:eastAsia="Humnst777 BT" w:hAnsi="Humnst777 BT" w:cs="Humnst777 BT"/>
          <w:color w:val="4472C4" w:themeColor="accent5"/>
          <w:sz w:val="20"/>
          <w:szCs w:val="20"/>
        </w:rPr>
        <w:t>, i</w:t>
      </w:r>
      <w:r w:rsidR="00A920C4" w:rsidRPr="00F76924">
        <w:rPr>
          <w:rFonts w:ascii="Humnst777 BT" w:eastAsia="Humnst777 BT" w:hAnsi="Humnst777 BT" w:cs="Humnst777 BT"/>
          <w:color w:val="4472C4" w:themeColor="accent5"/>
          <w:sz w:val="20"/>
          <w:szCs w:val="20"/>
        </w:rPr>
        <w:t>nclud</w:t>
      </w:r>
      <w:r w:rsidR="00F76924">
        <w:rPr>
          <w:rFonts w:ascii="Humnst777 BT" w:eastAsia="Humnst777 BT" w:hAnsi="Humnst777 BT" w:cs="Humnst777 BT"/>
          <w:color w:val="4472C4" w:themeColor="accent5"/>
          <w:sz w:val="20"/>
          <w:szCs w:val="20"/>
        </w:rPr>
        <w:t>ing</w:t>
      </w:r>
      <w:r w:rsidR="00A920C4" w:rsidRPr="00F76924">
        <w:rPr>
          <w:rFonts w:ascii="Humnst777 BT" w:eastAsia="Humnst777 BT" w:hAnsi="Humnst777 BT" w:cs="Humnst777 BT"/>
          <w:color w:val="4472C4" w:themeColor="accent5"/>
          <w:sz w:val="20"/>
          <w:szCs w:val="20"/>
        </w:rPr>
        <w:t xml:space="preserve"> assessment weeks for each module</w:t>
      </w:r>
      <w:r w:rsidR="00F7274B" w:rsidRPr="00F76924">
        <w:rPr>
          <w:rFonts w:ascii="Humnst777 BT" w:eastAsia="Humnst777 BT" w:hAnsi="Humnst777 BT" w:cs="Humnst777 BT"/>
          <w:color w:val="4472C4" w:themeColor="accent5"/>
          <w:sz w:val="20"/>
          <w:szCs w:val="20"/>
        </w:rPr>
        <w:t xml:space="preserve"> to confirm sequencing</w:t>
      </w:r>
    </w:p>
    <w:p w14:paraId="7DB18A10" w14:textId="5A3B8F49" w:rsidR="00D70865" w:rsidRPr="00F621D4" w:rsidRDefault="00B7145B" w:rsidP="00F76924">
      <w:pPr>
        <w:pStyle w:val="ListParagraph"/>
        <w:numPr>
          <w:ilvl w:val="0"/>
          <w:numId w:val="21"/>
        </w:numPr>
        <w:autoSpaceDE w:val="0"/>
        <w:autoSpaceDN w:val="0"/>
        <w:adjustRightInd w:val="0"/>
        <w:spacing w:after="0" w:line="240" w:lineRule="auto"/>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A mapping demonstrating how the modules enable the </w:t>
      </w:r>
      <w:r w:rsidR="00FC6EEE"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level learning outcomes to be met.</w:t>
      </w:r>
    </w:p>
    <w:p w14:paraId="21BC6C3A" w14:textId="77777777" w:rsidR="00F621D4" w:rsidRPr="00F621D4" w:rsidRDefault="00F621D4" w:rsidP="00F621D4">
      <w:pPr>
        <w:pStyle w:val="ListParagraph"/>
        <w:autoSpaceDE w:val="0"/>
        <w:autoSpaceDN w:val="0"/>
        <w:adjustRightInd w:val="0"/>
        <w:spacing w:after="0" w:line="240" w:lineRule="auto"/>
        <w:jc w:val="both"/>
        <w:rPr>
          <w:rFonts w:ascii="Humnst777 BT" w:eastAsia="Humnst777 BT" w:hAnsi="Humnst777 BT" w:cs="Humnst777 BT"/>
          <w:color w:val="4472C4" w:themeColor="accent5"/>
          <w:sz w:val="20"/>
          <w:szCs w:val="20"/>
        </w:rPr>
      </w:pPr>
    </w:p>
    <w:p w14:paraId="70267793" w14:textId="690DAB5F" w:rsidR="00420F8E" w:rsidRDefault="00420F8E" w:rsidP="00F621D4">
      <w:pPr>
        <w:pStyle w:val="Heading3"/>
        <w:numPr>
          <w:ilvl w:val="0"/>
          <w:numId w:val="11"/>
        </w:numPr>
        <w:spacing w:before="0" w:after="0"/>
        <w:ind w:left="284"/>
        <w:rPr>
          <w:sz w:val="20"/>
          <w:szCs w:val="20"/>
        </w:rPr>
      </w:pPr>
      <w:r w:rsidRPr="00F621D4">
        <w:rPr>
          <w:sz w:val="20"/>
          <w:szCs w:val="20"/>
        </w:rPr>
        <w:t>Learning</w:t>
      </w:r>
      <w:r w:rsidR="0011280A" w:rsidRPr="00F621D4">
        <w:rPr>
          <w:sz w:val="20"/>
          <w:szCs w:val="20"/>
        </w:rPr>
        <w:t xml:space="preserve">, </w:t>
      </w:r>
      <w:r w:rsidRPr="00F621D4">
        <w:rPr>
          <w:sz w:val="20"/>
          <w:szCs w:val="20"/>
        </w:rPr>
        <w:t>Teaching</w:t>
      </w:r>
      <w:r w:rsidR="0011280A" w:rsidRPr="00F621D4">
        <w:rPr>
          <w:sz w:val="20"/>
          <w:szCs w:val="20"/>
        </w:rPr>
        <w:t xml:space="preserve"> and Assessment</w:t>
      </w:r>
      <w:r w:rsidRPr="00F621D4">
        <w:rPr>
          <w:sz w:val="20"/>
          <w:szCs w:val="20"/>
        </w:rPr>
        <w:t xml:space="preserve"> Strategy</w:t>
      </w:r>
    </w:p>
    <w:p w14:paraId="077C85A5" w14:textId="77777777" w:rsidR="003D16D6" w:rsidRDefault="003D16D6" w:rsidP="007C778B">
      <w:pPr>
        <w:pStyle w:val="Heading3"/>
        <w:spacing w:before="0" w:after="0"/>
        <w:ind w:left="284"/>
        <w:rPr>
          <w:b w:val="0"/>
          <w:bCs/>
          <w:color w:val="4472C4" w:themeColor="accent5"/>
          <w:sz w:val="20"/>
          <w:szCs w:val="20"/>
        </w:rPr>
      </w:pPr>
    </w:p>
    <w:p w14:paraId="68DF1886" w14:textId="1926FB1F" w:rsidR="007C778B" w:rsidRPr="007C778B" w:rsidRDefault="007C778B" w:rsidP="007C778B">
      <w:pPr>
        <w:pStyle w:val="Heading3"/>
        <w:spacing w:before="0" w:after="0"/>
        <w:ind w:left="284"/>
        <w:rPr>
          <w:b w:val="0"/>
          <w:bCs/>
          <w:sz w:val="20"/>
          <w:szCs w:val="20"/>
        </w:rPr>
      </w:pPr>
      <w:r w:rsidRPr="007C778B">
        <w:rPr>
          <w:b w:val="0"/>
          <w:bCs/>
          <w:color w:val="4472C4" w:themeColor="accent5"/>
          <w:sz w:val="20"/>
          <w:szCs w:val="20"/>
        </w:rPr>
        <w:t xml:space="preserve">The </w:t>
      </w:r>
      <w:hyperlink r:id="rId16" w:history="1">
        <w:r w:rsidRPr="007C778B">
          <w:rPr>
            <w:rStyle w:val="Hyperlink"/>
            <w:b w:val="0"/>
            <w:bCs/>
            <w:i/>
            <w:iCs/>
            <w:sz w:val="20"/>
            <w:szCs w:val="20"/>
          </w:rPr>
          <w:t>Nine Principles of the Learning and Teaching Strategy</w:t>
        </w:r>
      </w:hyperlink>
      <w:r w:rsidRPr="007C778B">
        <w:rPr>
          <w:b w:val="0"/>
          <w:bCs/>
          <w:color w:val="4472C4" w:themeColor="accent5"/>
          <w:sz w:val="20"/>
          <w:szCs w:val="20"/>
        </w:rPr>
        <w:t xml:space="preserve"> must provide the foundation for this section.</w:t>
      </w:r>
    </w:p>
    <w:p w14:paraId="55AB28E4" w14:textId="77777777" w:rsidR="007C778B" w:rsidRDefault="007C778B" w:rsidP="009308EC">
      <w:pPr>
        <w:pStyle w:val="PlainText"/>
        <w:ind w:left="284"/>
        <w:jc w:val="both"/>
        <w:rPr>
          <w:rFonts w:ascii="Humnst777 BT" w:eastAsia="Humnst777 BT" w:hAnsi="Humnst777 BT" w:cs="Humnst777 BT"/>
          <w:color w:val="4472C4" w:themeColor="accent5"/>
          <w:sz w:val="20"/>
          <w:szCs w:val="20"/>
        </w:rPr>
      </w:pPr>
    </w:p>
    <w:p w14:paraId="06A1E826" w14:textId="318EFDCB" w:rsidR="007C778B" w:rsidRDefault="00420F8E" w:rsidP="009308EC">
      <w:pPr>
        <w:pStyle w:val="PlainText"/>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w:t>
      </w:r>
      <w:r w:rsidR="007C778B">
        <w:rPr>
          <w:rFonts w:ascii="Humnst777 BT" w:eastAsia="Humnst777 BT" w:hAnsi="Humnst777 BT" w:cs="Humnst777 BT"/>
          <w:color w:val="4472C4" w:themeColor="accent5"/>
          <w:sz w:val="20"/>
          <w:szCs w:val="20"/>
        </w:rPr>
        <w:t>confirm</w:t>
      </w:r>
      <w:r w:rsidRPr="00F621D4">
        <w:rPr>
          <w:rFonts w:ascii="Humnst777 BT" w:eastAsia="Humnst777 BT" w:hAnsi="Humnst777 BT" w:cs="Humnst777 BT"/>
          <w:color w:val="4472C4" w:themeColor="accent5"/>
          <w:sz w:val="20"/>
          <w:szCs w:val="20"/>
        </w:rPr>
        <w:t xml:space="preserve"> </w:t>
      </w:r>
      <w:r w:rsidR="007C778B">
        <w:rPr>
          <w:rFonts w:ascii="Humnst777 BT" w:eastAsia="Humnst777 BT" w:hAnsi="Humnst777 BT" w:cs="Humnst777 BT"/>
          <w:color w:val="4472C4" w:themeColor="accent5"/>
          <w:sz w:val="20"/>
          <w:szCs w:val="20"/>
        </w:rPr>
        <w:t xml:space="preserve">the following:- </w:t>
      </w:r>
    </w:p>
    <w:p w14:paraId="25A08650" w14:textId="572A299E" w:rsidR="007C778B" w:rsidRDefault="007C778B" w:rsidP="007C778B">
      <w:pPr>
        <w:pStyle w:val="PlainText"/>
        <w:numPr>
          <w:ilvl w:val="0"/>
          <w:numId w:val="23"/>
        </w:numPr>
        <w:ind w:hanging="436"/>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H</w:t>
      </w:r>
      <w:r w:rsidR="00420F8E" w:rsidRPr="00F621D4">
        <w:rPr>
          <w:rFonts w:ascii="Humnst777 BT" w:eastAsia="Humnst777 BT" w:hAnsi="Humnst777 BT" w:cs="Humnst777 BT"/>
          <w:color w:val="4472C4" w:themeColor="accent5"/>
          <w:sz w:val="20"/>
          <w:szCs w:val="20"/>
        </w:rPr>
        <w:t>ow the specific Learning</w:t>
      </w:r>
      <w:r w:rsidR="0011280A" w:rsidRPr="00F621D4">
        <w:rPr>
          <w:rFonts w:ascii="Humnst777 BT" w:eastAsia="Humnst777 BT" w:hAnsi="Humnst777 BT" w:cs="Humnst777 BT"/>
          <w:color w:val="4472C4" w:themeColor="accent5"/>
          <w:sz w:val="20"/>
          <w:szCs w:val="20"/>
        </w:rPr>
        <w:t xml:space="preserve">, </w:t>
      </w:r>
      <w:r w:rsidR="00420F8E" w:rsidRPr="00F621D4">
        <w:rPr>
          <w:rFonts w:ascii="Humnst777 BT" w:eastAsia="Humnst777 BT" w:hAnsi="Humnst777 BT" w:cs="Humnst777 BT"/>
          <w:color w:val="4472C4" w:themeColor="accent5"/>
          <w:sz w:val="20"/>
          <w:szCs w:val="20"/>
        </w:rPr>
        <w:t xml:space="preserve">Teaching </w:t>
      </w:r>
      <w:r w:rsidR="0011280A" w:rsidRPr="00F621D4">
        <w:rPr>
          <w:rFonts w:ascii="Humnst777 BT" w:eastAsia="Humnst777 BT" w:hAnsi="Humnst777 BT" w:cs="Humnst777 BT"/>
          <w:color w:val="4472C4" w:themeColor="accent5"/>
          <w:sz w:val="20"/>
          <w:szCs w:val="20"/>
        </w:rPr>
        <w:t xml:space="preserve">and Assessment </w:t>
      </w:r>
      <w:r w:rsidR="00420F8E" w:rsidRPr="00F621D4">
        <w:rPr>
          <w:rFonts w:ascii="Humnst777 BT" w:eastAsia="Humnst777 BT" w:hAnsi="Humnst777 BT" w:cs="Humnst777 BT"/>
          <w:color w:val="4472C4" w:themeColor="accent5"/>
          <w:sz w:val="20"/>
          <w:szCs w:val="20"/>
        </w:rPr>
        <w:t xml:space="preserve">Strategy for this </w:t>
      </w:r>
      <w:r w:rsidR="00FC6EEE" w:rsidRPr="00F621D4">
        <w:rPr>
          <w:rFonts w:ascii="Humnst777 BT" w:eastAsia="Humnst777 BT" w:hAnsi="Humnst777 BT" w:cs="Humnst777 BT"/>
          <w:color w:val="4472C4" w:themeColor="accent5"/>
          <w:sz w:val="20"/>
          <w:szCs w:val="20"/>
        </w:rPr>
        <w:t xml:space="preserve">course </w:t>
      </w:r>
      <w:r>
        <w:rPr>
          <w:rFonts w:ascii="Humnst777 BT" w:eastAsia="Humnst777 BT" w:hAnsi="Humnst777 BT" w:cs="Humnst777 BT"/>
          <w:color w:val="4472C4" w:themeColor="accent5"/>
          <w:sz w:val="20"/>
          <w:szCs w:val="20"/>
        </w:rPr>
        <w:t xml:space="preserve">has been designed to enable </w:t>
      </w:r>
      <w:r w:rsidR="00420F8E" w:rsidRPr="00F621D4">
        <w:rPr>
          <w:rFonts w:ascii="Humnst777 BT" w:eastAsia="Humnst777 BT" w:hAnsi="Humnst777 BT" w:cs="Humnst777 BT"/>
          <w:color w:val="4472C4" w:themeColor="accent5"/>
          <w:sz w:val="20"/>
          <w:szCs w:val="20"/>
        </w:rPr>
        <w:t>students to</w:t>
      </w:r>
      <w:r>
        <w:rPr>
          <w:rFonts w:ascii="Humnst777 BT" w:eastAsia="Humnst777 BT" w:hAnsi="Humnst777 BT" w:cs="Humnst777 BT"/>
          <w:color w:val="4472C4" w:themeColor="accent5"/>
          <w:sz w:val="20"/>
          <w:szCs w:val="20"/>
        </w:rPr>
        <w:t xml:space="preserve"> successfully</w:t>
      </w:r>
      <w:r w:rsidR="00420F8E" w:rsidRPr="00F621D4">
        <w:rPr>
          <w:rFonts w:ascii="Humnst777 BT" w:eastAsia="Humnst777 BT" w:hAnsi="Humnst777 BT" w:cs="Humnst777 BT"/>
          <w:color w:val="4472C4" w:themeColor="accent5"/>
          <w:sz w:val="20"/>
          <w:szCs w:val="20"/>
        </w:rPr>
        <w:t xml:space="preserve"> achieve </w:t>
      </w:r>
      <w:r w:rsidR="005108C6">
        <w:rPr>
          <w:rFonts w:ascii="Humnst777 BT" w:eastAsia="Humnst777 BT" w:hAnsi="Humnst777 BT" w:cs="Humnst777 BT"/>
          <w:color w:val="4472C4" w:themeColor="accent5"/>
          <w:sz w:val="20"/>
          <w:szCs w:val="20"/>
        </w:rPr>
        <w:t xml:space="preserve">and demonstrate </w:t>
      </w:r>
      <w:r w:rsidR="00420F8E" w:rsidRPr="00F621D4">
        <w:rPr>
          <w:rFonts w:ascii="Humnst777 BT" w:eastAsia="Humnst777 BT" w:hAnsi="Humnst777 BT" w:cs="Humnst777 BT"/>
          <w:color w:val="4472C4" w:themeColor="accent5"/>
          <w:sz w:val="20"/>
          <w:szCs w:val="20"/>
        </w:rPr>
        <w:t xml:space="preserve">the </w:t>
      </w:r>
      <w:r w:rsidR="00FC6EEE" w:rsidRPr="00F621D4">
        <w:rPr>
          <w:rFonts w:ascii="Humnst777 BT" w:eastAsia="Humnst777 BT" w:hAnsi="Humnst777 BT" w:cs="Humnst777 BT"/>
          <w:color w:val="4472C4" w:themeColor="accent5"/>
          <w:sz w:val="20"/>
          <w:szCs w:val="20"/>
        </w:rPr>
        <w:t xml:space="preserve">Course </w:t>
      </w:r>
      <w:r w:rsidR="00420F8E" w:rsidRPr="00F621D4">
        <w:rPr>
          <w:rFonts w:ascii="Humnst777 BT" w:eastAsia="Humnst777 BT" w:hAnsi="Humnst777 BT" w:cs="Humnst777 BT"/>
          <w:color w:val="4472C4" w:themeColor="accent5"/>
          <w:sz w:val="20"/>
          <w:szCs w:val="20"/>
        </w:rPr>
        <w:t>Learning Outcomes</w:t>
      </w:r>
      <w:r w:rsidR="005108C6">
        <w:rPr>
          <w:rFonts w:ascii="Humnst777 BT" w:eastAsia="Humnst777 BT" w:hAnsi="Humnst777 BT" w:cs="Humnst777 BT"/>
          <w:color w:val="4472C4" w:themeColor="accent5"/>
          <w:sz w:val="20"/>
          <w:szCs w:val="20"/>
        </w:rPr>
        <w:t>.</w:t>
      </w:r>
      <w:r w:rsidR="00420F8E" w:rsidRPr="00F621D4">
        <w:rPr>
          <w:rFonts w:ascii="Humnst777 BT" w:eastAsia="Humnst777 BT" w:hAnsi="Humnst777 BT" w:cs="Humnst777 BT"/>
          <w:color w:val="4472C4" w:themeColor="accent5"/>
          <w:sz w:val="20"/>
          <w:szCs w:val="20"/>
        </w:rPr>
        <w:t xml:space="preserve"> </w:t>
      </w:r>
      <w:r w:rsidR="005108C6">
        <w:rPr>
          <w:rFonts w:ascii="Humnst777 BT" w:eastAsia="Humnst777 BT" w:hAnsi="Humnst777 BT" w:cs="Humnst777 BT"/>
          <w:color w:val="4472C4" w:themeColor="accent5"/>
          <w:sz w:val="20"/>
          <w:szCs w:val="20"/>
        </w:rPr>
        <w:t xml:space="preserve"> </w:t>
      </w:r>
    </w:p>
    <w:p w14:paraId="71D2B5B1" w14:textId="05984542" w:rsidR="007C778B" w:rsidRDefault="007C778B" w:rsidP="007C778B">
      <w:pPr>
        <w:pStyle w:val="PlainText"/>
        <w:numPr>
          <w:ilvl w:val="0"/>
          <w:numId w:val="23"/>
        </w:numPr>
        <w:ind w:hanging="436"/>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H</w:t>
      </w:r>
      <w:r w:rsidR="00420F8E" w:rsidRPr="007C778B">
        <w:rPr>
          <w:rFonts w:ascii="Humnst777 BT" w:eastAsia="Humnst777 BT" w:hAnsi="Humnst777 BT" w:cs="Humnst777 BT"/>
          <w:color w:val="4472C4" w:themeColor="accent5"/>
          <w:sz w:val="20"/>
          <w:szCs w:val="20"/>
        </w:rPr>
        <w:t xml:space="preserve">ow the </w:t>
      </w:r>
      <w:r w:rsidR="00FC6EEE" w:rsidRPr="007C778B">
        <w:rPr>
          <w:rFonts w:ascii="Humnst777 BT" w:eastAsia="Humnst777 BT" w:hAnsi="Humnst777 BT" w:cs="Humnst777 BT"/>
          <w:color w:val="4472C4" w:themeColor="accent5"/>
          <w:sz w:val="20"/>
          <w:szCs w:val="20"/>
        </w:rPr>
        <w:t xml:space="preserve">course </w:t>
      </w:r>
      <w:r w:rsidR="00420F8E" w:rsidRPr="007C778B">
        <w:rPr>
          <w:rFonts w:ascii="Humnst777 BT" w:eastAsia="Humnst777 BT" w:hAnsi="Humnst777 BT" w:cs="Humnst777 BT"/>
          <w:color w:val="4472C4" w:themeColor="accent5"/>
          <w:sz w:val="20"/>
          <w:szCs w:val="20"/>
        </w:rPr>
        <w:t xml:space="preserve">has been designed to meet the needs of </w:t>
      </w:r>
      <w:r>
        <w:rPr>
          <w:rFonts w:ascii="Humnst777 BT" w:eastAsia="Humnst777 BT" w:hAnsi="Humnst777 BT" w:cs="Humnst777 BT"/>
          <w:color w:val="4472C4" w:themeColor="accent5"/>
          <w:sz w:val="20"/>
          <w:szCs w:val="20"/>
        </w:rPr>
        <w:t>a diverse student population engaging with the course, in line with the underpinning themes of the Learning and Teaching strategies.</w:t>
      </w:r>
    </w:p>
    <w:p w14:paraId="1BE8F804" w14:textId="22A4354D" w:rsidR="005108C6" w:rsidRDefault="00466CF0" w:rsidP="007C778B">
      <w:pPr>
        <w:pStyle w:val="PlainText"/>
        <w:numPr>
          <w:ilvl w:val="0"/>
          <w:numId w:val="23"/>
        </w:numPr>
        <w:ind w:hanging="436"/>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A</w:t>
      </w:r>
      <w:r w:rsidR="005108C6" w:rsidRPr="00F621D4">
        <w:rPr>
          <w:rFonts w:ascii="Humnst777 BT" w:eastAsia="Humnst777 BT" w:hAnsi="Humnst777 BT" w:cs="Humnst777 BT"/>
          <w:color w:val="4472C4" w:themeColor="accent5"/>
          <w:sz w:val="20"/>
          <w:szCs w:val="20"/>
        </w:rPr>
        <w:t>ny course-specific resources</w:t>
      </w:r>
      <w:r>
        <w:rPr>
          <w:rFonts w:ascii="Humnst777 BT" w:eastAsia="Humnst777 BT" w:hAnsi="Humnst777 BT" w:cs="Humnst777 BT"/>
          <w:color w:val="4472C4" w:themeColor="accent5"/>
          <w:sz w:val="20"/>
          <w:szCs w:val="20"/>
        </w:rPr>
        <w:t xml:space="preserve"> </w:t>
      </w:r>
      <w:r w:rsidR="005108C6" w:rsidRPr="00F621D4">
        <w:rPr>
          <w:rFonts w:ascii="Humnst777 BT" w:eastAsia="Humnst777 BT" w:hAnsi="Humnst777 BT" w:cs="Humnst777 BT"/>
          <w:color w:val="4472C4" w:themeColor="accent5"/>
          <w:sz w:val="20"/>
          <w:szCs w:val="20"/>
        </w:rPr>
        <w:t xml:space="preserve">upon which the course will rely and the role </w:t>
      </w:r>
      <w:r w:rsidR="009308EC">
        <w:rPr>
          <w:rFonts w:ascii="Humnst777 BT" w:eastAsia="Humnst777 BT" w:hAnsi="Humnst777 BT" w:cs="Humnst777 BT"/>
          <w:color w:val="4472C4" w:themeColor="accent5"/>
          <w:sz w:val="20"/>
          <w:szCs w:val="20"/>
        </w:rPr>
        <w:t>they</w:t>
      </w:r>
      <w:r w:rsidR="005108C6" w:rsidRPr="00F621D4">
        <w:rPr>
          <w:rFonts w:ascii="Humnst777 BT" w:eastAsia="Humnst777 BT" w:hAnsi="Humnst777 BT" w:cs="Humnst777 BT"/>
          <w:color w:val="4472C4" w:themeColor="accent5"/>
          <w:sz w:val="20"/>
          <w:szCs w:val="20"/>
        </w:rPr>
        <w:t xml:space="preserve"> will play in supporting the course.</w:t>
      </w:r>
      <w:r w:rsidR="005108C6">
        <w:rPr>
          <w:rFonts w:ascii="Humnst777 BT" w:eastAsia="Humnst777 BT" w:hAnsi="Humnst777 BT" w:cs="Humnst777 BT"/>
          <w:color w:val="4472C4" w:themeColor="accent5"/>
          <w:sz w:val="20"/>
          <w:szCs w:val="20"/>
        </w:rPr>
        <w:t xml:space="preserve"> </w:t>
      </w:r>
      <w:r>
        <w:rPr>
          <w:rFonts w:ascii="Humnst777 BT" w:eastAsia="Humnst777 BT" w:hAnsi="Humnst777 BT" w:cs="Humnst777 BT"/>
          <w:color w:val="4472C4" w:themeColor="accent5"/>
          <w:sz w:val="20"/>
          <w:szCs w:val="20"/>
        </w:rPr>
        <w:t>For example, staff personnel and human resources.</w:t>
      </w:r>
    </w:p>
    <w:p w14:paraId="7C4D20D1" w14:textId="77777777" w:rsidR="005108C6" w:rsidRDefault="005108C6" w:rsidP="005108C6">
      <w:pPr>
        <w:pStyle w:val="PlainText"/>
        <w:ind w:left="284"/>
        <w:jc w:val="both"/>
        <w:rPr>
          <w:rFonts w:ascii="Humnst777 BT" w:eastAsia="Humnst777 BT" w:hAnsi="Humnst777 BT" w:cs="Humnst777 BT"/>
          <w:color w:val="4472C4" w:themeColor="accent5"/>
          <w:sz w:val="20"/>
          <w:szCs w:val="20"/>
        </w:rPr>
      </w:pPr>
    </w:p>
    <w:p w14:paraId="3B4820D4" w14:textId="20F13947" w:rsidR="0041294D" w:rsidRPr="009308EC" w:rsidRDefault="005108C6" w:rsidP="009308EC">
      <w:pPr>
        <w:pStyle w:val="PlainText"/>
        <w:ind w:left="284"/>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For apprenticeship courses, the</w:t>
      </w:r>
      <w:r w:rsidR="00466CF0">
        <w:rPr>
          <w:rFonts w:ascii="Humnst777 BT" w:eastAsia="Humnst777 BT" w:hAnsi="Humnst777 BT" w:cs="Humnst777 BT"/>
          <w:color w:val="4472C4" w:themeColor="accent5"/>
          <w:sz w:val="20"/>
          <w:szCs w:val="20"/>
        </w:rPr>
        <w:t xml:space="preserve"> nine</w:t>
      </w:r>
      <w:r>
        <w:rPr>
          <w:rFonts w:ascii="Humnst777 BT" w:eastAsia="Humnst777 BT" w:hAnsi="Humnst777 BT" w:cs="Humnst777 BT"/>
          <w:color w:val="4472C4" w:themeColor="accent5"/>
          <w:sz w:val="20"/>
          <w:szCs w:val="20"/>
        </w:rPr>
        <w:t xml:space="preserve"> principles have been adapted as follows:</w:t>
      </w:r>
    </w:p>
    <w:p w14:paraId="59202A40" w14:textId="64A74C2F" w:rsidR="0041294D" w:rsidRPr="003D16D6" w:rsidRDefault="0041294D" w:rsidP="00F621D4">
      <w:pPr>
        <w:pStyle w:val="ListParagraph"/>
        <w:numPr>
          <w:ilvl w:val="1"/>
          <w:numId w:val="16"/>
        </w:numPr>
        <w:spacing w:after="0" w:line="240" w:lineRule="auto"/>
        <w:ind w:left="567" w:hanging="283"/>
        <w:rPr>
          <w:color w:val="2E74B5" w:themeColor="accent1" w:themeShade="BF"/>
        </w:rPr>
      </w:pPr>
      <w:r w:rsidRPr="003D16D6">
        <w:rPr>
          <w:i/>
          <w:iCs/>
          <w:color w:val="2E74B5" w:themeColor="accent1" w:themeShade="BF"/>
        </w:rPr>
        <w:t>Supporting success for all apprentices</w:t>
      </w:r>
      <w:r w:rsidRPr="003D16D6">
        <w:rPr>
          <w:color w:val="2E74B5" w:themeColor="accent1" w:themeShade="BF"/>
        </w:rPr>
        <w:t xml:space="preserve">: </w:t>
      </w:r>
      <w:r w:rsidR="005108C6" w:rsidRPr="003D16D6">
        <w:rPr>
          <w:color w:val="2E74B5" w:themeColor="accent1" w:themeShade="BF"/>
        </w:rPr>
        <w:br/>
      </w:r>
      <w:r w:rsidRPr="003D16D6">
        <w:rPr>
          <w:color w:val="2E74B5" w:themeColor="accent1" w:themeShade="BF"/>
        </w:rPr>
        <w:t xml:space="preserve">Graduate employability is still an essential attribute but as apprentices are already in employment focus on enhanced skillset and promotion possibilities at the end of the apprenticeship. All learning and teaching practices should enable apprentices to reach their full potential in life. Access to learning opportunities and support should be delivered 24/7 in physical and virtual environments to support the needs of apprentices.   </w:t>
      </w:r>
    </w:p>
    <w:p w14:paraId="01228EDB" w14:textId="77777777" w:rsidR="005108C6" w:rsidRPr="003D16D6" w:rsidRDefault="005108C6" w:rsidP="005108C6">
      <w:pPr>
        <w:pStyle w:val="ListParagraph"/>
        <w:spacing w:after="0" w:line="240" w:lineRule="auto"/>
        <w:ind w:left="567"/>
        <w:rPr>
          <w:color w:val="2E74B5" w:themeColor="accent1" w:themeShade="BF"/>
        </w:rPr>
      </w:pPr>
    </w:p>
    <w:p w14:paraId="4201ACCC" w14:textId="666CF6AF"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Curriculum design for transformation/employer engagement</w:t>
      </w:r>
      <w:r w:rsidRPr="003D16D6">
        <w:rPr>
          <w:color w:val="2E74B5" w:themeColor="accent1" w:themeShade="BF"/>
        </w:rPr>
        <w:t xml:space="preserve">: </w:t>
      </w:r>
      <w:r w:rsidR="005108C6" w:rsidRPr="003D16D6">
        <w:rPr>
          <w:color w:val="2E74B5" w:themeColor="accent1" w:themeShade="BF"/>
        </w:rPr>
        <w:br/>
        <w:t>C</w:t>
      </w:r>
      <w:r w:rsidRPr="003D16D6">
        <w:rPr>
          <w:color w:val="2E74B5" w:themeColor="accent1" w:themeShade="BF"/>
        </w:rPr>
        <w:t>urriculum design leading to excellent outcomes; inclusion and success of diverse apprentice groups; ask deep questions and challenge accepted thinking; develop a quest for knowledge; take into account the need for increasingly flexible modes of delivery.</w:t>
      </w:r>
    </w:p>
    <w:p w14:paraId="7D4091EE" w14:textId="77777777" w:rsidR="005108C6" w:rsidRPr="003D16D6" w:rsidRDefault="005108C6" w:rsidP="005108C6">
      <w:pPr>
        <w:pStyle w:val="ListParagraph"/>
        <w:spacing w:after="0" w:line="240" w:lineRule="auto"/>
        <w:ind w:left="567"/>
        <w:contextualSpacing w:val="0"/>
        <w:rPr>
          <w:color w:val="2E74B5" w:themeColor="accent1" w:themeShade="BF"/>
        </w:rPr>
      </w:pPr>
    </w:p>
    <w:p w14:paraId="554ED5E4" w14:textId="312B490E"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Flexible and responsive learning environment</w:t>
      </w:r>
      <w:r w:rsidRPr="003D16D6">
        <w:rPr>
          <w:color w:val="2E74B5" w:themeColor="accent1" w:themeShade="BF"/>
        </w:rPr>
        <w:t xml:space="preserve"> in both the workplace and the University as well as extra-curricular and online environments. All learning environments should support and sustain individual and collective learning pathways. New physical environments should be designed for deep and active learning with maximum flexibility. Infrastructure and systems </w:t>
      </w:r>
      <w:r w:rsidRPr="003D16D6">
        <w:rPr>
          <w:color w:val="2E74B5" w:themeColor="accent1" w:themeShade="BF"/>
        </w:rPr>
        <w:lastRenderedPageBreak/>
        <w:t xml:space="preserve">need to be robust and support different approaches to learning.  The learning experience for apprentices should be consistent while celebrating cultural diversity. </w:t>
      </w:r>
    </w:p>
    <w:p w14:paraId="649E5FA5" w14:textId="77777777" w:rsidR="005108C6" w:rsidRPr="003D16D6" w:rsidRDefault="005108C6" w:rsidP="005108C6">
      <w:pPr>
        <w:pStyle w:val="ListParagraph"/>
        <w:spacing w:after="0" w:line="240" w:lineRule="auto"/>
        <w:ind w:left="567"/>
        <w:contextualSpacing w:val="0"/>
        <w:rPr>
          <w:color w:val="2E74B5" w:themeColor="accent1" w:themeShade="BF"/>
        </w:rPr>
      </w:pPr>
    </w:p>
    <w:p w14:paraId="4C70661E" w14:textId="2AC83AAC"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Building learning communities</w:t>
      </w:r>
      <w:r w:rsidRPr="003D16D6">
        <w:rPr>
          <w:color w:val="2E74B5" w:themeColor="accent1" w:themeShade="BF"/>
        </w:rPr>
        <w:t xml:space="preserve"> –learning communities should be developed across all aspects of apprenticeships. Apprentices and staff should be co-creators of learning through a shared praxis of reason and reflection. All apprentices’ potential should be recognised and nurtured through support and challenge.</w:t>
      </w:r>
    </w:p>
    <w:p w14:paraId="5E7FAA61" w14:textId="77777777" w:rsidR="005108C6" w:rsidRPr="003D16D6" w:rsidRDefault="005108C6" w:rsidP="005108C6">
      <w:pPr>
        <w:pStyle w:val="ListParagraph"/>
        <w:spacing w:after="0" w:line="240" w:lineRule="auto"/>
        <w:ind w:left="567"/>
        <w:contextualSpacing w:val="0"/>
        <w:rPr>
          <w:color w:val="2E74B5" w:themeColor="accent1" w:themeShade="BF"/>
        </w:rPr>
      </w:pPr>
    </w:p>
    <w:p w14:paraId="0F0A6205" w14:textId="62B83988"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Apprentices as partners in learning</w:t>
      </w:r>
      <w:r w:rsidRPr="003D16D6">
        <w:rPr>
          <w:color w:val="2E74B5" w:themeColor="accent1" w:themeShade="BF"/>
        </w:rPr>
        <w:t xml:space="preserve"> – the University, apprentices and employers are all partners in learning. Apprentices should have representation in an important role of improving the learning experience and delivering excellent education and outcomes. </w:t>
      </w:r>
    </w:p>
    <w:p w14:paraId="5083FEA1" w14:textId="77777777" w:rsidR="005108C6" w:rsidRPr="003D16D6" w:rsidRDefault="005108C6" w:rsidP="005108C6">
      <w:pPr>
        <w:pStyle w:val="ListParagraph"/>
        <w:spacing w:after="0" w:line="240" w:lineRule="auto"/>
        <w:ind w:left="567"/>
        <w:contextualSpacing w:val="0"/>
        <w:rPr>
          <w:color w:val="2E74B5" w:themeColor="accent1" w:themeShade="BF"/>
        </w:rPr>
      </w:pPr>
    </w:p>
    <w:p w14:paraId="1C5F1A7B" w14:textId="72CC59BA"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Outstanding learning / teaching and assessment practice</w:t>
      </w:r>
      <w:r w:rsidRPr="003D16D6">
        <w:rPr>
          <w:color w:val="2E74B5" w:themeColor="accent1" w:themeShade="BF"/>
        </w:rPr>
        <w:t xml:space="preserve"> – both through work experience and through study. Apprentices’ experience of learning, teaching and assessment should be stimulating and delivered by staff committed to their subject area. Staff supporting learning on apprenticeships should ensure their practice is evidence based, informed by scholarship and employ up-to-date learning tools and technologies. </w:t>
      </w:r>
    </w:p>
    <w:p w14:paraId="249B1C59" w14:textId="77777777" w:rsidR="005108C6" w:rsidRPr="003D16D6" w:rsidRDefault="005108C6" w:rsidP="005108C6">
      <w:pPr>
        <w:pStyle w:val="ListParagraph"/>
        <w:spacing w:after="0" w:line="240" w:lineRule="auto"/>
        <w:ind w:left="567"/>
        <w:contextualSpacing w:val="0"/>
        <w:rPr>
          <w:color w:val="2E74B5" w:themeColor="accent1" w:themeShade="BF"/>
        </w:rPr>
      </w:pPr>
    </w:p>
    <w:p w14:paraId="0787B129" w14:textId="6D9B4BD6"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Integrated approach to graduate employability</w:t>
      </w:r>
      <w:r w:rsidRPr="003D16D6">
        <w:rPr>
          <w:color w:val="2E74B5" w:themeColor="accent1" w:themeShade="BF"/>
        </w:rPr>
        <w:t xml:space="preserve"> – Ensure apprentices are aware of opportunities the programme provides to prepare them for graduate employment. Staff should engage with the graduate attributes of the university especially when designing learning outcomes and assessment and ensure that these are embedded in curricula. Employers will also contribute to curriculum and assessment design, and learning. Curricula should enable students to gain the experience, skills and attributes necessary to shape their own future and success.</w:t>
      </w:r>
    </w:p>
    <w:p w14:paraId="79B931D9" w14:textId="77777777" w:rsidR="005108C6" w:rsidRPr="003D16D6" w:rsidRDefault="005108C6" w:rsidP="005108C6">
      <w:pPr>
        <w:pStyle w:val="ListParagraph"/>
        <w:spacing w:after="0" w:line="240" w:lineRule="auto"/>
        <w:ind w:left="567"/>
        <w:contextualSpacing w:val="0"/>
        <w:rPr>
          <w:color w:val="2E74B5" w:themeColor="accent1" w:themeShade="BF"/>
        </w:rPr>
      </w:pPr>
    </w:p>
    <w:p w14:paraId="7BA42884" w14:textId="50BA3B41" w:rsidR="0041294D" w:rsidRPr="003D16D6" w:rsidRDefault="0041294D" w:rsidP="00F621D4">
      <w:pPr>
        <w:pStyle w:val="ListParagraph"/>
        <w:numPr>
          <w:ilvl w:val="1"/>
          <w:numId w:val="16"/>
        </w:numPr>
        <w:spacing w:after="0" w:line="240" w:lineRule="auto"/>
        <w:ind w:left="567" w:hanging="425"/>
        <w:contextualSpacing w:val="0"/>
        <w:rPr>
          <w:color w:val="2E74B5" w:themeColor="accent1" w:themeShade="BF"/>
        </w:rPr>
      </w:pPr>
      <w:r w:rsidRPr="003D16D6">
        <w:rPr>
          <w:i/>
          <w:iCs/>
          <w:color w:val="2E74B5" w:themeColor="accent1" w:themeShade="BF"/>
        </w:rPr>
        <w:t>Educating the whole person</w:t>
      </w:r>
      <w:r w:rsidRPr="003D16D6">
        <w:rPr>
          <w:color w:val="2E74B5" w:themeColor="accent1" w:themeShade="BF"/>
        </w:rPr>
        <w:t xml:space="preserve"> – apprenticeships are a lifelong learning programme. Learning should equip apprentices with skills for living and contributing to a wider social purpose. The learning environment should provide a safe space for challenge and transformation, places to learn to think and distinguish a good from a poor argument. Promote well-being and resilience, exploring and engendering understanding of equality, diversity and inclusivity.</w:t>
      </w:r>
    </w:p>
    <w:p w14:paraId="13801C56" w14:textId="77777777" w:rsidR="005108C6" w:rsidRPr="003D16D6" w:rsidRDefault="005108C6" w:rsidP="005108C6">
      <w:pPr>
        <w:pStyle w:val="ListParagraph"/>
        <w:spacing w:after="0" w:line="240" w:lineRule="auto"/>
        <w:ind w:left="567"/>
        <w:contextualSpacing w:val="0"/>
        <w:rPr>
          <w:color w:val="2E74B5" w:themeColor="accent1" w:themeShade="BF"/>
        </w:rPr>
      </w:pPr>
    </w:p>
    <w:p w14:paraId="63B339C0" w14:textId="77777777" w:rsidR="0041294D" w:rsidRPr="003D16D6" w:rsidRDefault="0041294D" w:rsidP="00F621D4">
      <w:pPr>
        <w:pStyle w:val="ListParagraph"/>
        <w:numPr>
          <w:ilvl w:val="1"/>
          <w:numId w:val="16"/>
        </w:numPr>
        <w:spacing w:after="0" w:line="240" w:lineRule="auto"/>
        <w:ind w:left="567" w:hanging="425"/>
        <w:contextualSpacing w:val="0"/>
        <w:jc w:val="both"/>
        <w:rPr>
          <w:rFonts w:ascii="Humnst777 BT" w:eastAsia="Humnst777 BT" w:hAnsi="Humnst777 BT" w:cs="Humnst777 BT"/>
          <w:color w:val="7030A0"/>
        </w:rPr>
      </w:pPr>
      <w:r w:rsidRPr="003D16D6">
        <w:rPr>
          <w:i/>
          <w:iCs/>
          <w:color w:val="2E74B5" w:themeColor="accent1" w:themeShade="BF"/>
        </w:rPr>
        <w:t>Internationalisation and global citizenship</w:t>
      </w:r>
      <w:r w:rsidRPr="003D16D6">
        <w:rPr>
          <w:color w:val="2E74B5" w:themeColor="accent1" w:themeShade="BF"/>
        </w:rPr>
        <w:t xml:space="preserve"> – although apprenticeships are only open to students in England, international perspectives are still relevant and curriculum content should challenge cultural bias and stereotyping. International perspectives help apprentices develop as global citizens and develop diversity and inclusion. Choices of learning, teaching and assessment strategies should be mindful of culture and seek to include all apprentices.</w:t>
      </w:r>
    </w:p>
    <w:p w14:paraId="19C40DDA" w14:textId="77777777" w:rsidR="00F621D4" w:rsidRPr="00F621D4" w:rsidRDefault="00F621D4" w:rsidP="00FC6EEE">
      <w:pPr>
        <w:pStyle w:val="PlainText"/>
        <w:jc w:val="both"/>
        <w:rPr>
          <w:rFonts w:ascii="Humnst777 BT" w:eastAsia="Humnst777 BT" w:hAnsi="Humnst777 BT" w:cs="Humnst777 BT"/>
          <w:color w:val="4472C4" w:themeColor="accent5"/>
          <w:sz w:val="20"/>
          <w:szCs w:val="20"/>
        </w:rPr>
      </w:pPr>
    </w:p>
    <w:p w14:paraId="1C164B98" w14:textId="674A4978" w:rsidR="00F44EEA" w:rsidRPr="00F621D4" w:rsidRDefault="005108C6" w:rsidP="009308EC">
      <w:pPr>
        <w:pStyle w:val="PlainText"/>
        <w:ind w:left="284"/>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The explanation should also explain the following:</w:t>
      </w:r>
    </w:p>
    <w:p w14:paraId="3874AF5D" w14:textId="5763389F" w:rsidR="003F7FA9" w:rsidRPr="00F621D4" w:rsidRDefault="003F7FA9" w:rsidP="009308EC">
      <w:pPr>
        <w:pStyle w:val="PlainText"/>
        <w:numPr>
          <w:ilvl w:val="0"/>
          <w:numId w:val="17"/>
        </w:numPr>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how results from the initial needs analysis will be used.</w:t>
      </w:r>
    </w:p>
    <w:p w14:paraId="4748463B" w14:textId="1E5ED845" w:rsidR="003F7FA9" w:rsidRPr="00F621D4" w:rsidRDefault="003F7FA9" w:rsidP="009308EC">
      <w:pPr>
        <w:pStyle w:val="PlainText"/>
        <w:numPr>
          <w:ilvl w:val="0"/>
          <w:numId w:val="17"/>
        </w:numPr>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how sessions will be differentiated to reflect apprentices’ different backgrounds and skills.</w:t>
      </w:r>
    </w:p>
    <w:p w14:paraId="43C0CC6F" w14:textId="266ED518" w:rsidR="003F7FA9" w:rsidRPr="00F621D4" w:rsidRDefault="003F7FA9" w:rsidP="009308EC">
      <w:pPr>
        <w:pStyle w:val="PlainText"/>
        <w:numPr>
          <w:ilvl w:val="0"/>
          <w:numId w:val="17"/>
        </w:numPr>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how </w:t>
      </w:r>
      <w:r w:rsidR="009308EC">
        <w:rPr>
          <w:rFonts w:ascii="Humnst777 BT" w:eastAsia="Humnst777 BT" w:hAnsi="Humnst777 BT" w:cs="Humnst777 BT"/>
          <w:color w:val="4472C4" w:themeColor="accent5"/>
          <w:sz w:val="20"/>
          <w:szCs w:val="20"/>
        </w:rPr>
        <w:t>the course team</w:t>
      </w:r>
      <w:r w:rsidRPr="00F621D4">
        <w:rPr>
          <w:rFonts w:ascii="Humnst777 BT" w:eastAsia="Humnst777 BT" w:hAnsi="Humnst777 BT" w:cs="Humnst777 BT"/>
          <w:color w:val="4472C4" w:themeColor="accent5"/>
          <w:sz w:val="20"/>
          <w:szCs w:val="20"/>
        </w:rPr>
        <w:t xml:space="preserve"> will work with employers to ensure assessments are appropriate.</w:t>
      </w:r>
    </w:p>
    <w:p w14:paraId="743E2DE1" w14:textId="1283F6FA" w:rsidR="003F7FA9" w:rsidRPr="00F621D4" w:rsidRDefault="003F7FA9" w:rsidP="009308EC">
      <w:pPr>
        <w:pStyle w:val="PlainText"/>
        <w:numPr>
          <w:ilvl w:val="0"/>
          <w:numId w:val="17"/>
        </w:numPr>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what </w:t>
      </w:r>
      <w:r w:rsidR="00F44EEA" w:rsidRPr="00F621D4">
        <w:rPr>
          <w:rFonts w:ascii="Humnst777 BT" w:eastAsia="Humnst777 BT" w:hAnsi="Humnst777 BT" w:cs="Humnst777 BT"/>
          <w:color w:val="4472C4" w:themeColor="accent5"/>
          <w:sz w:val="20"/>
          <w:szCs w:val="20"/>
        </w:rPr>
        <w:t xml:space="preserve">opportunities/possibilities for apprentices </w:t>
      </w:r>
      <w:r w:rsidRPr="00F621D4">
        <w:rPr>
          <w:rFonts w:ascii="Humnst777 BT" w:eastAsia="Humnst777 BT" w:hAnsi="Humnst777 BT" w:cs="Humnst777 BT"/>
          <w:color w:val="4472C4" w:themeColor="accent5"/>
          <w:sz w:val="20"/>
          <w:szCs w:val="20"/>
        </w:rPr>
        <w:t xml:space="preserve">will </w:t>
      </w:r>
      <w:r w:rsidR="00F44EEA" w:rsidRPr="00F621D4">
        <w:rPr>
          <w:rFonts w:ascii="Humnst777 BT" w:eastAsia="Humnst777 BT" w:hAnsi="Humnst777 BT" w:cs="Humnst777 BT"/>
          <w:color w:val="4472C4" w:themeColor="accent5"/>
          <w:sz w:val="20"/>
          <w:szCs w:val="20"/>
        </w:rPr>
        <w:t>arise out of undertaking/completing the course.</w:t>
      </w:r>
    </w:p>
    <w:p w14:paraId="14238848" w14:textId="5DFC8809" w:rsidR="00F44EEA" w:rsidRPr="00F621D4" w:rsidRDefault="00F44EEA" w:rsidP="009308EC">
      <w:pPr>
        <w:pStyle w:val="PlainText"/>
        <w:numPr>
          <w:ilvl w:val="0"/>
          <w:numId w:val="17"/>
        </w:numPr>
        <w:ind w:left="567" w:hanging="283"/>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how good teaching will be identified/evaluated. What evidence will be provided that good teaching is being carried out/ having an impact. </w:t>
      </w:r>
    </w:p>
    <w:p w14:paraId="29718026" w14:textId="450AB0D5" w:rsidR="00FC6EEE" w:rsidRDefault="00FC6EEE" w:rsidP="00FC6EEE">
      <w:pPr>
        <w:pStyle w:val="PlainText"/>
        <w:jc w:val="both"/>
        <w:rPr>
          <w:rFonts w:ascii="Humnst777 BT" w:eastAsia="Humnst777 BT" w:hAnsi="Humnst777 BT" w:cs="Humnst777 BT"/>
          <w:color w:val="4472C4" w:themeColor="accent5"/>
          <w:sz w:val="20"/>
          <w:szCs w:val="20"/>
        </w:rPr>
      </w:pPr>
    </w:p>
    <w:p w14:paraId="462EBD9C" w14:textId="77777777" w:rsidR="009308EC" w:rsidRPr="00F621D4" w:rsidRDefault="009308EC" w:rsidP="00FC6EEE">
      <w:pPr>
        <w:pStyle w:val="PlainText"/>
        <w:jc w:val="both"/>
        <w:rPr>
          <w:rFonts w:ascii="Humnst777 BT" w:eastAsia="Humnst777 BT" w:hAnsi="Humnst777 BT" w:cs="Humnst777 BT"/>
          <w:color w:val="4472C4" w:themeColor="accent5"/>
          <w:sz w:val="20"/>
          <w:szCs w:val="20"/>
        </w:rPr>
      </w:pPr>
    </w:p>
    <w:p w14:paraId="504EC249" w14:textId="70CF79A3" w:rsidR="007A7687" w:rsidRPr="00F621D4" w:rsidRDefault="007A7687" w:rsidP="009308EC">
      <w:pPr>
        <w:pStyle w:val="Heading3"/>
        <w:numPr>
          <w:ilvl w:val="0"/>
          <w:numId w:val="11"/>
        </w:numPr>
        <w:spacing w:before="0" w:after="0"/>
        <w:ind w:left="284"/>
        <w:rPr>
          <w:b w:val="0"/>
          <w:iCs/>
          <w:sz w:val="20"/>
          <w:szCs w:val="20"/>
        </w:rPr>
      </w:pPr>
      <w:r w:rsidRPr="00F621D4">
        <w:rPr>
          <w:iCs/>
          <w:sz w:val="20"/>
          <w:szCs w:val="20"/>
        </w:rPr>
        <w:t xml:space="preserve">Relationship of the </w:t>
      </w:r>
      <w:r w:rsidR="00FC6EEE" w:rsidRPr="00F621D4">
        <w:rPr>
          <w:iCs/>
          <w:sz w:val="20"/>
          <w:szCs w:val="20"/>
        </w:rPr>
        <w:t>course</w:t>
      </w:r>
      <w:r w:rsidRPr="00F621D4">
        <w:rPr>
          <w:iCs/>
          <w:sz w:val="20"/>
          <w:szCs w:val="20"/>
        </w:rPr>
        <w:t xml:space="preserve"> with national and subject reference points</w:t>
      </w:r>
    </w:p>
    <w:p w14:paraId="0E211455" w14:textId="77777777" w:rsidR="003D16D6" w:rsidRDefault="003D16D6" w:rsidP="009308EC">
      <w:pPr>
        <w:pStyle w:val="PlainText"/>
        <w:ind w:left="284"/>
        <w:jc w:val="both"/>
        <w:rPr>
          <w:rFonts w:ascii="Humnst777 BT" w:eastAsia="Humnst777 BT" w:hAnsi="Humnst777 BT" w:cs="Humnst777 BT"/>
          <w:color w:val="4472C4" w:themeColor="accent5"/>
          <w:sz w:val="20"/>
          <w:szCs w:val="20"/>
        </w:rPr>
      </w:pPr>
    </w:p>
    <w:p w14:paraId="362CE8B1" w14:textId="4F1FB2F4" w:rsidR="009308EC" w:rsidRDefault="007A7687" w:rsidP="009308EC">
      <w:pPr>
        <w:pStyle w:val="PlainText"/>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set out how the </w:t>
      </w:r>
      <w:r w:rsidR="00FC6EEE"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 xml:space="preserve">relates to </w:t>
      </w:r>
      <w:r w:rsidRPr="009308EC">
        <w:rPr>
          <w:rFonts w:ascii="Humnst777 BT" w:eastAsia="Humnst777 BT" w:hAnsi="Humnst777 BT" w:cs="Humnst777 BT"/>
          <w:color w:val="4472C4" w:themeColor="accent5"/>
          <w:sz w:val="20"/>
          <w:szCs w:val="20"/>
        </w:rPr>
        <w:t>relevant</w:t>
      </w:r>
      <w:r w:rsidRPr="00F621D4">
        <w:rPr>
          <w:rFonts w:ascii="Humnst777 BT" w:eastAsia="Humnst777 BT" w:hAnsi="Humnst777 BT" w:cs="Humnst777 BT"/>
          <w:color w:val="4472C4" w:themeColor="accent5"/>
          <w:sz w:val="20"/>
          <w:szCs w:val="20"/>
        </w:rPr>
        <w:t xml:space="preserve"> reference points including:</w:t>
      </w:r>
    </w:p>
    <w:p w14:paraId="2A1C3E94" w14:textId="77777777" w:rsid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The generic level descriptors annexed to the Regulation and Credit Framework for the conferment of award </w:t>
      </w:r>
    </w:p>
    <w:p w14:paraId="14DDD35E" w14:textId="77777777" w:rsid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Subject benchmark statements (for undergraduate degrees)</w:t>
      </w:r>
    </w:p>
    <w:p w14:paraId="1476B8CF" w14:textId="77777777" w:rsid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Foundation Degree Qualification Benchmark Statement (for foundation degrees) </w:t>
      </w:r>
    </w:p>
    <w:p w14:paraId="15609F08" w14:textId="77777777" w:rsid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lastRenderedPageBreak/>
        <w:t xml:space="preserve">Master’s Degree Characteristics Document (for Master’s Degrees) </w:t>
      </w:r>
    </w:p>
    <w:p w14:paraId="77070D4D" w14:textId="77777777" w:rsid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Doctoral Degree Characteristics Document (for doctoral degrees)</w:t>
      </w:r>
    </w:p>
    <w:p w14:paraId="3C6432F1" w14:textId="6EDEDE67" w:rsidR="007A7687" w:rsidRPr="009308EC" w:rsidRDefault="007A7687" w:rsidP="009308EC">
      <w:pPr>
        <w:pStyle w:val="ListParagraph"/>
        <w:numPr>
          <w:ilvl w:val="0"/>
          <w:numId w:val="18"/>
        </w:numPr>
        <w:tabs>
          <w:tab w:val="right" w:pos="7920"/>
        </w:tabs>
        <w:spacing w:after="0"/>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Relevant professional, statutory and regulatory body requirements</w:t>
      </w:r>
    </w:p>
    <w:p w14:paraId="3638936D" w14:textId="07955434" w:rsidR="001B676C" w:rsidRPr="00F621D4" w:rsidRDefault="00B73BE5" w:rsidP="009308EC">
      <w:pPr>
        <w:pStyle w:val="ListParagraph"/>
        <w:numPr>
          <w:ilvl w:val="0"/>
          <w:numId w:val="1"/>
        </w:numPr>
        <w:tabs>
          <w:tab w:val="right" w:pos="7920"/>
        </w:tabs>
        <w:autoSpaceDE w:val="0"/>
        <w:autoSpaceDN w:val="0"/>
        <w:adjustRightInd w:val="0"/>
        <w:spacing w:before="120" w:after="120" w:line="240" w:lineRule="auto"/>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 xml:space="preserve">The approved </w:t>
      </w:r>
      <w:r w:rsidR="001B676C" w:rsidRPr="00F621D4">
        <w:rPr>
          <w:rFonts w:ascii="Humnst777 BT" w:eastAsia="Humnst777 BT" w:hAnsi="Humnst777 BT" w:cs="Humnst777 BT"/>
          <w:color w:val="4472C4" w:themeColor="accent5"/>
          <w:sz w:val="20"/>
          <w:szCs w:val="20"/>
        </w:rPr>
        <w:t>National Apprenticeship Standard</w:t>
      </w:r>
      <w:r>
        <w:rPr>
          <w:rFonts w:ascii="Humnst777 BT" w:eastAsia="Humnst777 BT" w:hAnsi="Humnst777 BT" w:cs="Humnst777 BT"/>
          <w:color w:val="4472C4" w:themeColor="accent5"/>
          <w:sz w:val="20"/>
          <w:szCs w:val="20"/>
        </w:rPr>
        <w:t xml:space="preserve"> published on the </w:t>
      </w:r>
      <w:hyperlink r:id="rId17" w:history="1">
        <w:r w:rsidRPr="00B73BE5">
          <w:rPr>
            <w:rStyle w:val="Hyperlink"/>
            <w:rFonts w:ascii="Humnst777 BT" w:eastAsia="Humnst777 BT" w:hAnsi="Humnst777 BT" w:cs="Humnst777 BT"/>
            <w:sz w:val="20"/>
            <w:szCs w:val="20"/>
          </w:rPr>
          <w:t>Institute for Apprenticeships &amp; Technical Education</w:t>
        </w:r>
      </w:hyperlink>
      <w:r>
        <w:rPr>
          <w:rFonts w:ascii="Humnst777 BT" w:eastAsia="Humnst777 BT" w:hAnsi="Humnst777 BT" w:cs="Humnst777 BT"/>
          <w:color w:val="4472C4" w:themeColor="accent5"/>
          <w:sz w:val="20"/>
          <w:szCs w:val="20"/>
        </w:rPr>
        <w:t xml:space="preserve"> (IfATE) website.</w:t>
      </w:r>
    </w:p>
    <w:p w14:paraId="6B030CDB" w14:textId="764A3D3D" w:rsidR="007A7687" w:rsidRPr="00F621D4" w:rsidRDefault="007A7687" w:rsidP="009308EC">
      <w:pPr>
        <w:pStyle w:val="Heading3"/>
        <w:ind w:left="284"/>
        <w:rPr>
          <w:b w:val="0"/>
          <w:color w:val="4472C4" w:themeColor="accent5"/>
          <w:sz w:val="20"/>
          <w:szCs w:val="20"/>
        </w:rPr>
      </w:pPr>
      <w:r w:rsidRPr="00F621D4">
        <w:rPr>
          <w:b w:val="0"/>
          <w:color w:val="4472C4" w:themeColor="accent5"/>
          <w:sz w:val="20"/>
          <w:szCs w:val="20"/>
        </w:rPr>
        <w:t xml:space="preserve">Please also indicate how advice from external sources (external academics, employers, service-users) and from students has been </w:t>
      </w:r>
      <w:r w:rsidR="009308EC">
        <w:rPr>
          <w:b w:val="0"/>
          <w:color w:val="4472C4" w:themeColor="accent5"/>
          <w:sz w:val="20"/>
          <w:szCs w:val="20"/>
        </w:rPr>
        <w:t>used to inform course design</w:t>
      </w:r>
      <w:r w:rsidRPr="00F621D4">
        <w:rPr>
          <w:b w:val="0"/>
          <w:color w:val="4472C4" w:themeColor="accent5"/>
          <w:sz w:val="20"/>
          <w:szCs w:val="20"/>
        </w:rPr>
        <w:t>.</w:t>
      </w:r>
    </w:p>
    <w:p w14:paraId="409346D9" w14:textId="3296DA15" w:rsidR="001B676C" w:rsidRPr="006825F1" w:rsidRDefault="001B676C" w:rsidP="009308EC">
      <w:pPr>
        <w:pStyle w:val="Heading3"/>
        <w:ind w:left="284"/>
        <w:rPr>
          <w:b w:val="0"/>
          <w:bCs/>
          <w:color w:val="2E74B5" w:themeColor="accent1" w:themeShade="BF"/>
          <w:sz w:val="20"/>
          <w:szCs w:val="20"/>
        </w:rPr>
      </w:pPr>
      <w:r w:rsidRPr="006825F1">
        <w:rPr>
          <w:b w:val="0"/>
          <w:bCs/>
          <w:color w:val="2E74B5" w:themeColor="accent1" w:themeShade="BF"/>
          <w:sz w:val="20"/>
          <w:szCs w:val="20"/>
        </w:rPr>
        <w:t xml:space="preserve">Apprentice </w:t>
      </w:r>
      <w:r w:rsidR="00F621D4" w:rsidRPr="006825F1">
        <w:rPr>
          <w:b w:val="0"/>
          <w:bCs/>
          <w:color w:val="2E74B5" w:themeColor="accent1" w:themeShade="BF"/>
          <w:sz w:val="20"/>
          <w:szCs w:val="20"/>
        </w:rPr>
        <w:t xml:space="preserve">courses </w:t>
      </w:r>
      <w:r w:rsidRPr="006825F1">
        <w:rPr>
          <w:b w:val="0"/>
          <w:bCs/>
          <w:color w:val="2E74B5" w:themeColor="accent1" w:themeShade="BF"/>
          <w:sz w:val="20"/>
          <w:szCs w:val="20"/>
        </w:rPr>
        <w:t>mus</w:t>
      </w:r>
      <w:r w:rsidR="00466CF0" w:rsidRPr="006825F1">
        <w:rPr>
          <w:b w:val="0"/>
          <w:bCs/>
          <w:color w:val="2E74B5" w:themeColor="accent1" w:themeShade="BF"/>
          <w:sz w:val="20"/>
          <w:szCs w:val="20"/>
        </w:rPr>
        <w:t>t</w:t>
      </w:r>
      <w:r w:rsidRPr="006825F1">
        <w:rPr>
          <w:b w:val="0"/>
          <w:bCs/>
          <w:color w:val="2E74B5" w:themeColor="accent1" w:themeShade="BF"/>
          <w:sz w:val="20"/>
          <w:szCs w:val="20"/>
        </w:rPr>
        <w:t xml:space="preserve"> be designed to the relevant approved Apprenticeship Standard;</w:t>
      </w:r>
      <w:r w:rsidR="00F621D4" w:rsidRPr="006825F1">
        <w:rPr>
          <w:b w:val="0"/>
          <w:bCs/>
          <w:color w:val="2E74B5" w:themeColor="accent1" w:themeShade="BF"/>
          <w:sz w:val="20"/>
          <w:szCs w:val="20"/>
        </w:rPr>
        <w:t xml:space="preserve"> Courses</w:t>
      </w:r>
      <w:r w:rsidRPr="006825F1">
        <w:rPr>
          <w:b w:val="0"/>
          <w:bCs/>
          <w:color w:val="2E74B5" w:themeColor="accent1" w:themeShade="BF"/>
          <w:sz w:val="20"/>
          <w:szCs w:val="20"/>
        </w:rPr>
        <w:t xml:space="preserve">, including all training provision, must deliver the necessary knowledge, skills and behaviours in order for students to demonstrate full occupational competence in the relevant job. </w:t>
      </w:r>
    </w:p>
    <w:p w14:paraId="7CDCE03C" w14:textId="0A573ADC" w:rsidR="001B676C" w:rsidRPr="006825F1" w:rsidRDefault="001B676C" w:rsidP="009308EC">
      <w:pPr>
        <w:pStyle w:val="Heading3"/>
        <w:ind w:left="284"/>
        <w:rPr>
          <w:b w:val="0"/>
          <w:bCs/>
          <w:color w:val="2E74B5" w:themeColor="accent1" w:themeShade="BF"/>
          <w:sz w:val="20"/>
          <w:szCs w:val="20"/>
        </w:rPr>
      </w:pPr>
      <w:r w:rsidRPr="006825F1">
        <w:rPr>
          <w:b w:val="0"/>
          <w:bCs/>
          <w:color w:val="2E74B5" w:themeColor="accent1" w:themeShade="BF"/>
          <w:sz w:val="20"/>
          <w:szCs w:val="20"/>
        </w:rPr>
        <w:t>Please therefore provide adequate mapping to the Apprenticeship Standard. This should be checked both internally and externally by the School as well as either the Apprenticeship Unit or the End Point Assessment Organisation.</w:t>
      </w:r>
    </w:p>
    <w:p w14:paraId="4B1AFF6B" w14:textId="48950BE3" w:rsidR="000C6A95" w:rsidRPr="00F621D4" w:rsidRDefault="000C6A95" w:rsidP="000C6A95">
      <w:pPr>
        <w:pStyle w:val="Heading3"/>
        <w:ind w:left="284"/>
        <w:rPr>
          <w:b w:val="0"/>
          <w:bCs/>
          <w:sz w:val="20"/>
          <w:szCs w:val="20"/>
        </w:rPr>
      </w:pPr>
      <w:r w:rsidRPr="006825F1">
        <w:rPr>
          <w:b w:val="0"/>
          <w:bCs/>
          <w:color w:val="2E74B5" w:themeColor="accent1" w:themeShade="BF"/>
          <w:sz w:val="20"/>
          <w:szCs w:val="20"/>
        </w:rPr>
        <w:t>Apprenticeship courses must show evidence of co-design with potential employers. This section should set out details of how this has been undertaken and that employers are content with the proposed course</w:t>
      </w:r>
    </w:p>
    <w:p w14:paraId="7E0CB470" w14:textId="77777777" w:rsidR="001B676C" w:rsidRPr="00F621D4" w:rsidRDefault="001B676C" w:rsidP="001B676C">
      <w:pPr>
        <w:pStyle w:val="Heading3"/>
        <w:rPr>
          <w:b w:val="0"/>
          <w:color w:val="4472C4" w:themeColor="accent5"/>
          <w:sz w:val="20"/>
          <w:szCs w:val="20"/>
        </w:rPr>
      </w:pPr>
    </w:p>
    <w:p w14:paraId="6F112E6F" w14:textId="675BBE5C" w:rsidR="007A7687" w:rsidRPr="00F621D4" w:rsidRDefault="007A7687" w:rsidP="009308EC">
      <w:pPr>
        <w:pStyle w:val="ListParagraph"/>
        <w:numPr>
          <w:ilvl w:val="0"/>
          <w:numId w:val="11"/>
        </w:numPr>
        <w:spacing w:before="120" w:after="0"/>
        <w:ind w:left="284"/>
        <w:jc w:val="both"/>
        <w:rPr>
          <w:rFonts w:ascii="Humnst777 BT" w:eastAsia="Humnst777 BT" w:hAnsi="Humnst777 BT" w:cs="Humnst777 BT"/>
          <w:b/>
          <w:i/>
          <w:sz w:val="20"/>
          <w:szCs w:val="20"/>
        </w:rPr>
      </w:pPr>
      <w:r w:rsidRPr="00F621D4">
        <w:rPr>
          <w:rFonts w:ascii="Humnst777 BT" w:eastAsia="Humnst777 BT" w:hAnsi="Humnst777 BT" w:cs="Humnst777 BT"/>
          <w:b/>
          <w:sz w:val="20"/>
          <w:szCs w:val="20"/>
        </w:rPr>
        <w:t xml:space="preserve">The </w:t>
      </w:r>
      <w:r w:rsidR="00FC6EEE" w:rsidRPr="00F621D4">
        <w:rPr>
          <w:rFonts w:ascii="Humnst777 BT" w:eastAsia="Humnst777 BT" w:hAnsi="Humnst777 BT" w:cs="Humnst777 BT"/>
          <w:b/>
          <w:sz w:val="20"/>
          <w:szCs w:val="20"/>
        </w:rPr>
        <w:t>course</w:t>
      </w:r>
      <w:r w:rsidRPr="00F621D4">
        <w:rPr>
          <w:rFonts w:ascii="Humnst777 BT" w:eastAsia="Humnst777 BT" w:hAnsi="Humnst777 BT" w:cs="Humnst777 BT"/>
          <w:b/>
          <w:sz w:val="20"/>
          <w:szCs w:val="20"/>
        </w:rPr>
        <w:t>-specific approach to student</w:t>
      </w:r>
      <w:r w:rsidR="00B249FE" w:rsidRPr="00F621D4">
        <w:rPr>
          <w:rFonts w:ascii="Humnst777 BT" w:eastAsia="Humnst777 BT" w:hAnsi="Humnst777 BT" w:cs="Humnst777 BT"/>
          <w:b/>
          <w:sz w:val="20"/>
          <w:szCs w:val="20"/>
        </w:rPr>
        <w:t xml:space="preserve"> support,</w:t>
      </w:r>
      <w:r w:rsidRPr="00F621D4">
        <w:rPr>
          <w:rFonts w:ascii="Humnst777 BT" w:eastAsia="Humnst777 BT" w:hAnsi="Humnst777 BT" w:cs="Humnst777 BT"/>
          <w:b/>
          <w:sz w:val="20"/>
          <w:szCs w:val="20"/>
        </w:rPr>
        <w:t xml:space="preserve"> engagement and </w:t>
      </w:r>
      <w:r w:rsidR="004A11CB" w:rsidRPr="00F621D4">
        <w:rPr>
          <w:rFonts w:ascii="Humnst777 BT" w:eastAsia="Humnst777 BT" w:hAnsi="Humnst777 BT" w:cs="Humnst777 BT"/>
          <w:b/>
          <w:sz w:val="20"/>
          <w:szCs w:val="20"/>
        </w:rPr>
        <w:t>course</w:t>
      </w:r>
      <w:r w:rsidRPr="00F621D4">
        <w:rPr>
          <w:rFonts w:ascii="Humnst777 BT" w:eastAsia="Humnst777 BT" w:hAnsi="Humnst777 BT" w:cs="Humnst777 BT"/>
          <w:b/>
          <w:sz w:val="20"/>
          <w:szCs w:val="20"/>
        </w:rPr>
        <w:t xml:space="preserve"> management </w:t>
      </w:r>
    </w:p>
    <w:p w14:paraId="2C249CAB" w14:textId="77777777" w:rsidR="003D16D6" w:rsidRDefault="003D16D6" w:rsidP="009308EC">
      <w:pPr>
        <w:autoSpaceDE w:val="0"/>
        <w:autoSpaceDN w:val="0"/>
        <w:spacing w:after="0" w:line="240" w:lineRule="auto"/>
        <w:ind w:left="284"/>
        <w:jc w:val="both"/>
        <w:rPr>
          <w:rFonts w:ascii="Humnst777 BT" w:eastAsia="Humnst777 BT" w:hAnsi="Humnst777 BT" w:cs="Humnst777 BT"/>
          <w:color w:val="4472C4" w:themeColor="accent5"/>
          <w:sz w:val="20"/>
          <w:szCs w:val="20"/>
        </w:rPr>
      </w:pPr>
    </w:p>
    <w:p w14:paraId="0DC55E3C" w14:textId="2615C49E" w:rsidR="009308EC" w:rsidRDefault="00A07355" w:rsidP="009308EC">
      <w:pPr>
        <w:autoSpaceDE w:val="0"/>
        <w:autoSpaceDN w:val="0"/>
        <w:spacing w:after="0" w:line="240" w:lineRule="auto"/>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confirm </w:t>
      </w:r>
      <w:r w:rsidR="009308EC">
        <w:rPr>
          <w:rFonts w:ascii="Humnst777 BT" w:eastAsia="Humnst777 BT" w:hAnsi="Humnst777 BT" w:cs="Humnst777 BT"/>
          <w:color w:val="4472C4" w:themeColor="accent5"/>
          <w:sz w:val="20"/>
          <w:szCs w:val="20"/>
        </w:rPr>
        <w:t>the following: -</w:t>
      </w:r>
    </w:p>
    <w:p w14:paraId="3DD3725C" w14:textId="2DAA92A8" w:rsidR="009308EC" w:rsidRDefault="009308EC" w:rsidP="009308EC">
      <w:pPr>
        <w:pStyle w:val="ListParagraph"/>
        <w:numPr>
          <w:ilvl w:val="0"/>
          <w:numId w:val="20"/>
        </w:numPr>
        <w:autoSpaceDE w:val="0"/>
        <w:autoSpaceDN w:val="0"/>
        <w:spacing w:after="0" w:line="240" w:lineRule="auto"/>
        <w:ind w:left="709" w:hanging="425"/>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Compliance </w:t>
      </w:r>
      <w:r w:rsidR="00A07355" w:rsidRPr="009308EC">
        <w:rPr>
          <w:rFonts w:ascii="Humnst777 BT" w:eastAsia="Humnst777 BT" w:hAnsi="Humnst777 BT" w:cs="Humnst777 BT"/>
          <w:color w:val="4472C4" w:themeColor="accent5"/>
          <w:sz w:val="20"/>
          <w:szCs w:val="20"/>
        </w:rPr>
        <w:t xml:space="preserve">with the </w:t>
      </w:r>
      <w:r w:rsidR="004E35B5" w:rsidRPr="009308EC">
        <w:rPr>
          <w:rFonts w:ascii="Humnst777 BT" w:eastAsia="Humnst777 BT" w:hAnsi="Humnst777 BT" w:cs="Humnst777 BT"/>
          <w:color w:val="4472C4" w:themeColor="accent5"/>
          <w:sz w:val="20"/>
          <w:szCs w:val="20"/>
        </w:rPr>
        <w:t>F</w:t>
      </w:r>
      <w:r w:rsidR="00A07355" w:rsidRPr="009308EC">
        <w:rPr>
          <w:rFonts w:ascii="Humnst777 BT" w:eastAsia="Humnst777 BT" w:hAnsi="Humnst777 BT" w:cs="Humnst777 BT"/>
          <w:color w:val="4472C4" w:themeColor="accent5"/>
          <w:sz w:val="20"/>
          <w:szCs w:val="20"/>
        </w:rPr>
        <w:t xml:space="preserve">aculty and </w:t>
      </w:r>
      <w:r w:rsidR="004E35B5" w:rsidRPr="009308EC">
        <w:rPr>
          <w:rFonts w:ascii="Humnst777 BT" w:eastAsia="Humnst777 BT" w:hAnsi="Humnst777 BT" w:cs="Humnst777 BT"/>
          <w:color w:val="4472C4" w:themeColor="accent5"/>
          <w:sz w:val="20"/>
          <w:szCs w:val="20"/>
        </w:rPr>
        <w:t>S</w:t>
      </w:r>
      <w:r w:rsidR="00A07355" w:rsidRPr="009308EC">
        <w:rPr>
          <w:rFonts w:ascii="Humnst777 BT" w:eastAsia="Humnst777 BT" w:hAnsi="Humnst777 BT" w:cs="Humnst777 BT"/>
          <w:color w:val="4472C4" w:themeColor="accent5"/>
          <w:sz w:val="20"/>
          <w:szCs w:val="20"/>
        </w:rPr>
        <w:t xml:space="preserve">chool approach to student engagement and </w:t>
      </w:r>
      <w:r w:rsidR="00FC6EEE" w:rsidRPr="009308EC">
        <w:rPr>
          <w:rFonts w:ascii="Humnst777 BT" w:eastAsia="Humnst777 BT" w:hAnsi="Humnst777 BT" w:cs="Humnst777 BT"/>
          <w:color w:val="4472C4" w:themeColor="accent5"/>
          <w:sz w:val="20"/>
          <w:szCs w:val="20"/>
        </w:rPr>
        <w:t xml:space="preserve">course </w:t>
      </w:r>
      <w:r w:rsidR="00A07355" w:rsidRPr="009308EC">
        <w:rPr>
          <w:rFonts w:ascii="Humnst777 BT" w:eastAsia="Humnst777 BT" w:hAnsi="Humnst777 BT" w:cs="Humnst777 BT"/>
          <w:color w:val="4472C4" w:themeColor="accent5"/>
          <w:sz w:val="20"/>
          <w:szCs w:val="20"/>
        </w:rPr>
        <w:t>management</w:t>
      </w:r>
      <w:r>
        <w:rPr>
          <w:rFonts w:ascii="Humnst777 BT" w:eastAsia="Humnst777 BT" w:hAnsi="Humnst777 BT" w:cs="Humnst777 BT"/>
          <w:color w:val="4472C4" w:themeColor="accent5"/>
          <w:sz w:val="20"/>
          <w:szCs w:val="20"/>
        </w:rPr>
        <w:t>.</w:t>
      </w:r>
    </w:p>
    <w:p w14:paraId="323C6852" w14:textId="4686D62E" w:rsidR="009308EC" w:rsidRDefault="009308EC" w:rsidP="009308EC">
      <w:pPr>
        <w:pStyle w:val="ListParagraph"/>
        <w:numPr>
          <w:ilvl w:val="0"/>
          <w:numId w:val="20"/>
        </w:numPr>
        <w:autoSpaceDE w:val="0"/>
        <w:autoSpaceDN w:val="0"/>
        <w:spacing w:after="0" w:line="240" w:lineRule="auto"/>
        <w:ind w:left="709" w:hanging="425"/>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A</w:t>
      </w:r>
      <w:r w:rsidR="002605B4" w:rsidRPr="009308EC">
        <w:rPr>
          <w:rFonts w:ascii="Humnst777 BT" w:eastAsia="Humnst777 BT" w:hAnsi="Humnst777 BT" w:cs="Humnst777 BT"/>
          <w:color w:val="4472C4" w:themeColor="accent5"/>
          <w:sz w:val="20"/>
          <w:szCs w:val="20"/>
        </w:rPr>
        <w:t xml:space="preserve">rrangements in place to support students, </w:t>
      </w:r>
      <w:r w:rsidR="008537C7" w:rsidRPr="009308EC">
        <w:rPr>
          <w:rFonts w:ascii="Humnst777 BT" w:eastAsia="Humnst777 BT" w:hAnsi="Humnst777 BT" w:cs="Humnst777 BT"/>
          <w:color w:val="4472C4" w:themeColor="accent5"/>
          <w:sz w:val="20"/>
          <w:szCs w:val="20"/>
        </w:rPr>
        <w:t xml:space="preserve">including, but not limited to PAT arrangements. </w:t>
      </w:r>
    </w:p>
    <w:p w14:paraId="27D314D1" w14:textId="6E970234" w:rsidR="00B249FE" w:rsidRPr="009308EC" w:rsidRDefault="008537C7" w:rsidP="009308EC">
      <w:pPr>
        <w:pStyle w:val="ListParagraph"/>
        <w:numPr>
          <w:ilvl w:val="0"/>
          <w:numId w:val="20"/>
        </w:numPr>
        <w:autoSpaceDE w:val="0"/>
        <w:autoSpaceDN w:val="0"/>
        <w:spacing w:after="0" w:line="240" w:lineRule="auto"/>
        <w:ind w:left="709" w:hanging="425"/>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Where the </w:t>
      </w:r>
      <w:r w:rsidR="00FC6EEE" w:rsidRPr="009308EC">
        <w:rPr>
          <w:rFonts w:ascii="Humnst777 BT" w:eastAsia="Humnst777 BT" w:hAnsi="Humnst777 BT" w:cs="Humnst777 BT"/>
          <w:color w:val="4472C4" w:themeColor="accent5"/>
          <w:sz w:val="20"/>
          <w:szCs w:val="20"/>
        </w:rPr>
        <w:t xml:space="preserve">course </w:t>
      </w:r>
      <w:r w:rsidRPr="009308EC">
        <w:rPr>
          <w:rFonts w:ascii="Humnst777 BT" w:eastAsia="Humnst777 BT" w:hAnsi="Humnst777 BT" w:cs="Humnst777 BT"/>
          <w:color w:val="4472C4" w:themeColor="accent5"/>
          <w:sz w:val="20"/>
          <w:szCs w:val="20"/>
        </w:rPr>
        <w:t>has different delivery patterns, such as part time, evenings etc, state</w:t>
      </w:r>
      <w:r w:rsidR="009308EC" w:rsidRPr="009308EC">
        <w:rPr>
          <w:rFonts w:ascii="Humnst777 BT" w:eastAsia="Humnst777 BT" w:hAnsi="Humnst777 BT" w:cs="Humnst777 BT"/>
          <w:color w:val="4472C4" w:themeColor="accent5"/>
          <w:sz w:val="20"/>
          <w:szCs w:val="20"/>
        </w:rPr>
        <w:t>, confirm</w:t>
      </w:r>
      <w:r w:rsidRPr="009308EC">
        <w:rPr>
          <w:rFonts w:ascii="Humnst777 BT" w:eastAsia="Humnst777 BT" w:hAnsi="Humnst777 BT" w:cs="Humnst777 BT"/>
          <w:color w:val="4472C4" w:themeColor="accent5"/>
          <w:sz w:val="20"/>
          <w:szCs w:val="20"/>
        </w:rPr>
        <w:t xml:space="preserve"> how student support arrangements will be tailored to reflect the different learning environment.</w:t>
      </w:r>
    </w:p>
    <w:p w14:paraId="5FBB7A80" w14:textId="4D93FC0F" w:rsidR="00A07355" w:rsidRPr="00F621D4" w:rsidRDefault="00A07355" w:rsidP="009308EC">
      <w:pPr>
        <w:autoSpaceDE w:val="0"/>
        <w:autoSpaceDN w:val="0"/>
        <w:spacing w:after="0" w:line="240" w:lineRule="auto"/>
        <w:ind w:left="284"/>
        <w:jc w:val="both"/>
        <w:rPr>
          <w:rFonts w:ascii="Humnst777 BT" w:eastAsia="Humnst777 BT" w:hAnsi="Humnst777 BT" w:cs="Humnst777 BT"/>
          <w:color w:val="4472C4" w:themeColor="accent5"/>
          <w:sz w:val="20"/>
          <w:szCs w:val="20"/>
        </w:rPr>
      </w:pPr>
    </w:p>
    <w:p w14:paraId="041A808E" w14:textId="4B98FFA2" w:rsidR="001B676C" w:rsidRPr="009308EC" w:rsidRDefault="001B676C" w:rsidP="009308EC">
      <w:pPr>
        <w:autoSpaceDE w:val="0"/>
        <w:autoSpaceDN w:val="0"/>
        <w:spacing w:after="0" w:line="240" w:lineRule="auto"/>
        <w:ind w:left="284"/>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For apprenticeship</w:t>
      </w:r>
      <w:r w:rsidR="009308EC">
        <w:rPr>
          <w:rFonts w:ascii="Humnst777 BT" w:eastAsia="Humnst777 BT" w:hAnsi="Humnst777 BT" w:cs="Humnst777 BT"/>
          <w:color w:val="4472C4" w:themeColor="accent5"/>
          <w:sz w:val="20"/>
          <w:szCs w:val="20"/>
        </w:rPr>
        <w:t xml:space="preserve"> courses, </w:t>
      </w:r>
      <w:r w:rsidRPr="009308EC">
        <w:rPr>
          <w:rFonts w:ascii="Humnst777 BT" w:eastAsia="Humnst777 BT" w:hAnsi="Humnst777 BT" w:cs="Humnst777 BT"/>
          <w:color w:val="4472C4" w:themeColor="accent5"/>
          <w:sz w:val="20"/>
          <w:szCs w:val="20"/>
        </w:rPr>
        <w:t xml:space="preserve">Schools will be expected to put in place provision to fully support apprentices and work with Employers to ensure apprentices have all the necessary assistance for success in the work-based elements of their </w:t>
      </w:r>
      <w:r w:rsidR="004D2EA5">
        <w:rPr>
          <w:rFonts w:ascii="Humnst777 BT" w:eastAsia="Humnst777 BT" w:hAnsi="Humnst777 BT" w:cs="Humnst777 BT"/>
          <w:color w:val="4472C4" w:themeColor="accent5"/>
          <w:sz w:val="20"/>
          <w:szCs w:val="20"/>
        </w:rPr>
        <w:t>course.</w:t>
      </w:r>
    </w:p>
    <w:p w14:paraId="4139B3AD" w14:textId="49288125" w:rsidR="001B676C" w:rsidRPr="009308EC" w:rsidRDefault="001B676C" w:rsidP="007A7687">
      <w:pPr>
        <w:autoSpaceDE w:val="0"/>
        <w:autoSpaceDN w:val="0"/>
        <w:spacing w:after="0" w:line="240" w:lineRule="auto"/>
        <w:jc w:val="both"/>
        <w:rPr>
          <w:rFonts w:ascii="Humnst777 BT" w:eastAsia="Humnst777 BT" w:hAnsi="Humnst777 BT" w:cs="Humnst777 BT"/>
          <w:color w:val="4472C4" w:themeColor="accent5"/>
          <w:sz w:val="20"/>
          <w:szCs w:val="20"/>
        </w:rPr>
      </w:pPr>
    </w:p>
    <w:p w14:paraId="68289A9C" w14:textId="77777777" w:rsidR="001B676C" w:rsidRPr="009308EC" w:rsidRDefault="001B676C" w:rsidP="009308EC">
      <w:pPr>
        <w:autoSpaceDE w:val="0"/>
        <w:autoSpaceDN w:val="0"/>
        <w:spacing w:after="0" w:line="240" w:lineRule="auto"/>
        <w:ind w:left="284"/>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Support should include:</w:t>
      </w:r>
    </w:p>
    <w:p w14:paraId="78C04370" w14:textId="18F5CDF2" w:rsidR="001B676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Meeting students during an induction/orientation event at the beginning of the </w:t>
      </w:r>
      <w:r w:rsidR="00466CF0">
        <w:rPr>
          <w:rFonts w:ascii="Humnst777 BT" w:eastAsia="Humnst777 BT" w:hAnsi="Humnst777 BT" w:cs="Humnst777 BT"/>
          <w:color w:val="4472C4" w:themeColor="accent5"/>
          <w:sz w:val="20"/>
          <w:szCs w:val="20"/>
        </w:rPr>
        <w:t>course</w:t>
      </w:r>
    </w:p>
    <w:p w14:paraId="28EA8585" w14:textId="306EDCA3" w:rsidR="000C6A95" w:rsidRPr="009308EC" w:rsidRDefault="000C6A95"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Undertaking tripartite meetings between the University, apprentice and employer at an appropriate frequency</w:t>
      </w:r>
    </w:p>
    <w:p w14:paraId="1A7BC946" w14:textId="59067662" w:rsidR="001B676C" w:rsidRPr="009308EC" w:rsidRDefault="000C6A95"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 xml:space="preserve">Supporting contract review meetings with the employer </w:t>
      </w:r>
      <w:r w:rsidR="001B676C" w:rsidRPr="009308EC">
        <w:rPr>
          <w:rFonts w:ascii="Humnst777 BT" w:eastAsia="Humnst777 BT" w:hAnsi="Humnst777 BT" w:cs="Humnst777 BT"/>
          <w:color w:val="4472C4" w:themeColor="accent5"/>
          <w:sz w:val="20"/>
          <w:szCs w:val="20"/>
        </w:rPr>
        <w:t>to discuss issues across the cohort and, where necessary, individual students</w:t>
      </w:r>
    </w:p>
    <w:p w14:paraId="19E55036" w14:textId="67F86D95"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Maintaining adequate records (Schools must document all meetings with Employers and </w:t>
      </w:r>
      <w:r w:rsidR="000C6A95">
        <w:rPr>
          <w:rFonts w:ascii="Humnst777 BT" w:eastAsia="Humnst777 BT" w:hAnsi="Humnst777 BT" w:cs="Humnst777 BT"/>
          <w:color w:val="4472C4" w:themeColor="accent5"/>
          <w:sz w:val="20"/>
          <w:szCs w:val="20"/>
        </w:rPr>
        <w:t>apprentices</w:t>
      </w:r>
      <w:r w:rsidRPr="009308EC">
        <w:rPr>
          <w:rFonts w:ascii="Humnst777 BT" w:eastAsia="Humnst777 BT" w:hAnsi="Humnst777 BT" w:cs="Humnst777 BT"/>
          <w:color w:val="4472C4" w:themeColor="accent5"/>
          <w:sz w:val="20"/>
          <w:szCs w:val="20"/>
        </w:rPr>
        <w:t>)</w:t>
      </w:r>
    </w:p>
    <w:p w14:paraId="22F9EEF9" w14:textId="00785AE7" w:rsidR="000C6A95" w:rsidRDefault="000C6A95"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Ensure apprentices progress and off-the-job hours are tracked in the apprenticeship management system</w:t>
      </w:r>
    </w:p>
    <w:p w14:paraId="59ADCFF3" w14:textId="236CE0D4"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Prepare and agree progress reports as required</w:t>
      </w:r>
    </w:p>
    <w:p w14:paraId="7C0F7CBC" w14:textId="77777777"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Maintain awareness of sources of support for the apprentice</w:t>
      </w:r>
    </w:p>
    <w:p w14:paraId="793121DE" w14:textId="11191CA2"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Monitoring </w:t>
      </w:r>
      <w:r w:rsidR="000C6A95">
        <w:rPr>
          <w:rFonts w:ascii="Humnst777 BT" w:eastAsia="Humnst777 BT" w:hAnsi="Humnst777 BT" w:cs="Humnst777 BT"/>
          <w:color w:val="4472C4" w:themeColor="accent5"/>
          <w:sz w:val="20"/>
          <w:szCs w:val="20"/>
        </w:rPr>
        <w:t>apprentice</w:t>
      </w:r>
      <w:r w:rsidRPr="009308EC">
        <w:rPr>
          <w:rFonts w:ascii="Humnst777 BT" w:eastAsia="Humnst777 BT" w:hAnsi="Humnst777 BT" w:cs="Humnst777 BT"/>
          <w:color w:val="4472C4" w:themeColor="accent5"/>
          <w:sz w:val="20"/>
          <w:szCs w:val="20"/>
        </w:rPr>
        <w:t xml:space="preserve"> progress and identifying at risk individuals</w:t>
      </w:r>
    </w:p>
    <w:p w14:paraId="6CED3F4D" w14:textId="0B6C3970"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Ensure accuracy of </w:t>
      </w:r>
      <w:r w:rsidR="000C6A95">
        <w:rPr>
          <w:rFonts w:ascii="Humnst777 BT" w:eastAsia="Humnst777 BT" w:hAnsi="Humnst777 BT" w:cs="Humnst777 BT"/>
          <w:color w:val="4472C4" w:themeColor="accent5"/>
          <w:sz w:val="20"/>
          <w:szCs w:val="20"/>
        </w:rPr>
        <w:t>apprentice</w:t>
      </w:r>
      <w:r w:rsidRPr="009308EC">
        <w:rPr>
          <w:rFonts w:ascii="Humnst777 BT" w:eastAsia="Humnst777 BT" w:hAnsi="Humnst777 BT" w:cs="Humnst777 BT"/>
          <w:color w:val="4472C4" w:themeColor="accent5"/>
          <w:sz w:val="20"/>
          <w:szCs w:val="20"/>
        </w:rPr>
        <w:t xml:space="preserve"> records</w:t>
      </w:r>
    </w:p>
    <w:p w14:paraId="64A25E56" w14:textId="51E43535"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Visiting </w:t>
      </w:r>
      <w:r w:rsidR="000C6A95">
        <w:rPr>
          <w:rFonts w:ascii="Humnst777 BT" w:eastAsia="Humnst777 BT" w:hAnsi="Humnst777 BT" w:cs="Humnst777 BT"/>
          <w:color w:val="4472C4" w:themeColor="accent5"/>
          <w:sz w:val="20"/>
          <w:szCs w:val="20"/>
        </w:rPr>
        <w:t>apprentice</w:t>
      </w:r>
      <w:r w:rsidRPr="009308EC">
        <w:rPr>
          <w:rFonts w:ascii="Humnst777 BT" w:eastAsia="Humnst777 BT" w:hAnsi="Humnst777 BT" w:cs="Humnst777 BT"/>
          <w:color w:val="4472C4" w:themeColor="accent5"/>
          <w:sz w:val="20"/>
          <w:szCs w:val="20"/>
        </w:rPr>
        <w:t xml:space="preserve"> at their workplace</w:t>
      </w:r>
    </w:p>
    <w:p w14:paraId="440A02B3" w14:textId="77777777" w:rsidR="001B676C" w:rsidRPr="009308EC" w:rsidRDefault="001B676C" w:rsidP="009308EC">
      <w:pPr>
        <w:pStyle w:val="ListParagraph"/>
        <w:numPr>
          <w:ilvl w:val="0"/>
          <w:numId w:val="15"/>
        </w:numPr>
        <w:autoSpaceDE w:val="0"/>
        <w:autoSpaceDN w:val="0"/>
        <w:spacing w:after="0" w:line="240" w:lineRule="auto"/>
        <w:ind w:left="567"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Assist apprentices with their personal, professional and career development in the context of the apprenticeship by: </w:t>
      </w:r>
    </w:p>
    <w:p w14:paraId="4F1677BA" w14:textId="77777777"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1. Developing a learning plan</w:t>
      </w:r>
    </w:p>
    <w:p w14:paraId="2BFBE739" w14:textId="77777777"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2. Directing students to appropriate study skills advice</w:t>
      </w:r>
    </w:p>
    <w:p w14:paraId="79E24893" w14:textId="77777777"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3. Encouraging and assisting with reflection on progress to date (including reflection on academic grades and feedback)</w:t>
      </w:r>
    </w:p>
    <w:p w14:paraId="79072B8E" w14:textId="3ADA22F2"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4. </w:t>
      </w:r>
    </w:p>
    <w:p w14:paraId="231EE60B" w14:textId="65C1EC5E"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5. Review progress toward</w:t>
      </w:r>
      <w:r w:rsidR="000C6A95">
        <w:rPr>
          <w:rFonts w:ascii="Humnst777 BT" w:eastAsia="Humnst777 BT" w:hAnsi="Humnst777 BT" w:cs="Humnst777 BT"/>
          <w:color w:val="4472C4" w:themeColor="accent5"/>
          <w:sz w:val="20"/>
          <w:szCs w:val="20"/>
        </w:rPr>
        <w:t>s the End Point Assessment requirements</w:t>
      </w:r>
      <w:r w:rsidRPr="009308EC">
        <w:rPr>
          <w:rFonts w:ascii="Humnst777 BT" w:eastAsia="Humnst777 BT" w:hAnsi="Humnst777 BT" w:cs="Humnst777 BT"/>
          <w:color w:val="4472C4" w:themeColor="accent5"/>
          <w:sz w:val="20"/>
          <w:szCs w:val="20"/>
        </w:rPr>
        <w:t xml:space="preserve"> </w:t>
      </w:r>
    </w:p>
    <w:p w14:paraId="736BE66C" w14:textId="77777777" w:rsidR="001B676C" w:rsidRPr="009308EC" w:rsidRDefault="001B676C" w:rsidP="009308EC">
      <w:pPr>
        <w:autoSpaceDE w:val="0"/>
        <w:autoSpaceDN w:val="0"/>
        <w:spacing w:after="0" w:line="240" w:lineRule="auto"/>
        <w:ind w:left="993" w:hanging="283"/>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6. Discuss implications of personal development modules</w:t>
      </w:r>
    </w:p>
    <w:p w14:paraId="0D73A071" w14:textId="10FD0509" w:rsidR="001B676C" w:rsidRPr="009308EC" w:rsidRDefault="001B676C" w:rsidP="001B676C">
      <w:pPr>
        <w:autoSpaceDE w:val="0"/>
        <w:autoSpaceDN w:val="0"/>
        <w:spacing w:after="0" w:line="240" w:lineRule="auto"/>
        <w:jc w:val="both"/>
        <w:rPr>
          <w:rFonts w:ascii="Humnst777 BT" w:eastAsia="Humnst777 BT" w:hAnsi="Humnst777 BT" w:cs="Humnst777 BT"/>
          <w:color w:val="4472C4" w:themeColor="accent5"/>
          <w:sz w:val="20"/>
          <w:szCs w:val="20"/>
        </w:rPr>
      </w:pPr>
    </w:p>
    <w:p w14:paraId="75378D40" w14:textId="2F983FB4" w:rsidR="00724D4A" w:rsidRPr="009308EC" w:rsidRDefault="00724D4A" w:rsidP="004D2EA5">
      <w:pPr>
        <w:autoSpaceDE w:val="0"/>
        <w:autoSpaceDN w:val="0"/>
        <w:spacing w:after="0" w:line="240" w:lineRule="auto"/>
        <w:ind w:left="284"/>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lastRenderedPageBreak/>
        <w:t xml:space="preserve">Schools should </w:t>
      </w:r>
      <w:r w:rsidR="004D2EA5">
        <w:rPr>
          <w:rFonts w:ascii="Humnst777 BT" w:eastAsia="Humnst777 BT" w:hAnsi="Humnst777 BT" w:cs="Humnst777 BT"/>
          <w:color w:val="4472C4" w:themeColor="accent5"/>
          <w:sz w:val="20"/>
          <w:szCs w:val="20"/>
        </w:rPr>
        <w:t xml:space="preserve">also </w:t>
      </w:r>
      <w:r w:rsidRPr="009308EC">
        <w:rPr>
          <w:rFonts w:ascii="Humnst777 BT" w:eastAsia="Humnst777 BT" w:hAnsi="Humnst777 BT" w:cs="Humnst777 BT"/>
          <w:color w:val="4472C4" w:themeColor="accent5"/>
          <w:sz w:val="20"/>
          <w:szCs w:val="20"/>
        </w:rPr>
        <w:t xml:space="preserve">have a full discussion with the Employer regarding each party’s obligations and to set out the University’s approach to apprenticeships and the ethos underpinning the University’s provision of apprenticeship </w:t>
      </w:r>
      <w:r w:rsidR="00C10944">
        <w:rPr>
          <w:rFonts w:ascii="Humnst777 BT" w:eastAsia="Humnst777 BT" w:hAnsi="Humnst777 BT" w:cs="Humnst777 BT"/>
          <w:color w:val="4472C4" w:themeColor="accent5"/>
          <w:sz w:val="20"/>
          <w:szCs w:val="20"/>
        </w:rPr>
        <w:t>courses.</w:t>
      </w:r>
      <w:r w:rsidRPr="009308EC">
        <w:rPr>
          <w:rFonts w:ascii="Humnst777 BT" w:eastAsia="Humnst777 BT" w:hAnsi="Humnst777 BT" w:cs="Humnst777 BT"/>
          <w:color w:val="4472C4" w:themeColor="accent5"/>
          <w:sz w:val="20"/>
          <w:szCs w:val="20"/>
        </w:rPr>
        <w:t xml:space="preserve"> </w:t>
      </w:r>
    </w:p>
    <w:p w14:paraId="09C47A9E" w14:textId="77777777" w:rsidR="004D2EA5" w:rsidRDefault="004D2EA5" w:rsidP="004D2EA5">
      <w:pPr>
        <w:keepNext/>
        <w:spacing w:after="0"/>
        <w:ind w:left="284"/>
        <w:jc w:val="both"/>
        <w:rPr>
          <w:rFonts w:ascii="Humnst777 BT" w:eastAsia="Humnst777 BT" w:hAnsi="Humnst777 BT" w:cs="Humnst777 BT"/>
          <w:color w:val="4472C4" w:themeColor="accent5"/>
          <w:sz w:val="20"/>
          <w:szCs w:val="20"/>
        </w:rPr>
      </w:pPr>
    </w:p>
    <w:p w14:paraId="456AB201" w14:textId="4793BCF2" w:rsidR="00C10944" w:rsidRDefault="00724D4A" w:rsidP="004D2EA5">
      <w:pPr>
        <w:keepNext/>
        <w:spacing w:after="0"/>
        <w:ind w:left="284"/>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 xml:space="preserve">Please </w:t>
      </w:r>
      <w:r w:rsidR="00C10944">
        <w:rPr>
          <w:rFonts w:ascii="Humnst777 BT" w:eastAsia="Humnst777 BT" w:hAnsi="Humnst777 BT" w:cs="Humnst777 BT"/>
          <w:color w:val="4472C4" w:themeColor="accent5"/>
          <w:sz w:val="20"/>
          <w:szCs w:val="20"/>
        </w:rPr>
        <w:t xml:space="preserve"> therefore provide details on the following: </w:t>
      </w:r>
    </w:p>
    <w:p w14:paraId="5675B111" w14:textId="0DF850F7" w:rsidR="00C10944" w:rsidRDefault="00C10944" w:rsidP="00C10944">
      <w:pPr>
        <w:pStyle w:val="ListParagraph"/>
        <w:keepNext/>
        <w:numPr>
          <w:ilvl w:val="0"/>
          <w:numId w:val="24"/>
        </w:numPr>
        <w:spacing w:after="0"/>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A</w:t>
      </w:r>
      <w:r w:rsidR="00724D4A" w:rsidRPr="00C10944">
        <w:rPr>
          <w:rFonts w:ascii="Humnst777 BT" w:eastAsia="Humnst777 BT" w:hAnsi="Humnst777 BT" w:cs="Humnst777 BT"/>
          <w:color w:val="4472C4" w:themeColor="accent5"/>
          <w:sz w:val="20"/>
          <w:szCs w:val="20"/>
        </w:rPr>
        <w:t>rrangements for employers to provide 20% off-the-job training time, for apprenticeship to engage with the apprenticeship learning.</w:t>
      </w:r>
    </w:p>
    <w:p w14:paraId="31EF5517" w14:textId="58778C5F" w:rsidR="001B676C" w:rsidRPr="00C10944" w:rsidRDefault="00C10944" w:rsidP="00C10944">
      <w:pPr>
        <w:pStyle w:val="ListParagraph"/>
        <w:keepNext/>
        <w:numPr>
          <w:ilvl w:val="0"/>
          <w:numId w:val="24"/>
        </w:numPr>
        <w:spacing w:after="0"/>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H</w:t>
      </w:r>
      <w:r w:rsidR="001B676C" w:rsidRPr="00C10944">
        <w:rPr>
          <w:rFonts w:ascii="Humnst777 BT" w:eastAsia="Humnst777 BT" w:hAnsi="Humnst777 BT" w:cs="Humnst777 BT"/>
          <w:color w:val="4472C4" w:themeColor="accent5"/>
          <w:sz w:val="20"/>
          <w:szCs w:val="20"/>
        </w:rPr>
        <w:t xml:space="preserve">ow the School will give opportunities for employers and students to provide feedback on the apprenticeship and reflect this in Boards of Studies and Annual Apprenticeship Reviews. </w:t>
      </w:r>
    </w:p>
    <w:p w14:paraId="142460FC" w14:textId="0BAF1467" w:rsidR="001B676C" w:rsidRDefault="001B676C" w:rsidP="007A7687">
      <w:pPr>
        <w:autoSpaceDE w:val="0"/>
        <w:autoSpaceDN w:val="0"/>
        <w:spacing w:after="0" w:line="240" w:lineRule="auto"/>
        <w:jc w:val="both"/>
        <w:rPr>
          <w:rFonts w:ascii="Humnst777 BT" w:eastAsia="Humnst777 BT" w:hAnsi="Humnst777 BT" w:cs="Humnst777 BT"/>
          <w:color w:val="4472C4" w:themeColor="accent5"/>
          <w:sz w:val="20"/>
          <w:szCs w:val="20"/>
        </w:rPr>
      </w:pPr>
    </w:p>
    <w:p w14:paraId="56AE74D4" w14:textId="77777777" w:rsidR="00B73BE5" w:rsidRPr="00F621D4" w:rsidRDefault="00B73BE5" w:rsidP="007A7687">
      <w:pPr>
        <w:autoSpaceDE w:val="0"/>
        <w:autoSpaceDN w:val="0"/>
        <w:spacing w:after="0" w:line="240" w:lineRule="auto"/>
        <w:jc w:val="both"/>
        <w:rPr>
          <w:rFonts w:ascii="Humnst777 BT" w:eastAsia="Humnst777 BT" w:hAnsi="Humnst777 BT" w:cs="Humnst777 BT"/>
          <w:color w:val="4472C4" w:themeColor="accent5"/>
          <w:sz w:val="20"/>
          <w:szCs w:val="20"/>
        </w:rPr>
      </w:pPr>
    </w:p>
    <w:p w14:paraId="5DB31382" w14:textId="2E7FEE99" w:rsidR="004D42DD" w:rsidRPr="009308EC" w:rsidRDefault="004D42DD" w:rsidP="0046304B">
      <w:pPr>
        <w:pStyle w:val="Heading3"/>
        <w:numPr>
          <w:ilvl w:val="0"/>
          <w:numId w:val="11"/>
        </w:numPr>
        <w:spacing w:before="0" w:after="0"/>
        <w:ind w:left="284"/>
        <w:rPr>
          <w:sz w:val="20"/>
          <w:szCs w:val="20"/>
        </w:rPr>
      </w:pPr>
      <w:r w:rsidRPr="00F621D4">
        <w:rPr>
          <w:sz w:val="20"/>
          <w:szCs w:val="20"/>
        </w:rPr>
        <w:t>Work-Based Learning / Distance Learning / Placement Arrangements (if any)</w:t>
      </w:r>
    </w:p>
    <w:p w14:paraId="4031D561" w14:textId="77777777" w:rsidR="003D16D6" w:rsidRDefault="003D16D6" w:rsidP="0046304B">
      <w:pPr>
        <w:spacing w:after="0"/>
        <w:ind w:left="284"/>
        <w:jc w:val="both"/>
        <w:rPr>
          <w:rFonts w:ascii="Humnst777 BT" w:eastAsia="Humnst777 BT" w:hAnsi="Humnst777 BT" w:cs="Humnst777 BT"/>
          <w:color w:val="4472C4" w:themeColor="accent5"/>
          <w:sz w:val="20"/>
          <w:szCs w:val="20"/>
        </w:rPr>
      </w:pPr>
    </w:p>
    <w:p w14:paraId="6198C2B1" w14:textId="139B199A" w:rsidR="004D2EA5" w:rsidRDefault="004D42DD" w:rsidP="0046304B">
      <w:pPr>
        <w:spacing w:after="0"/>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summarise details of </w:t>
      </w:r>
      <w:r w:rsidR="004D2EA5">
        <w:rPr>
          <w:rFonts w:ascii="Humnst777 BT" w:eastAsia="Humnst777 BT" w:hAnsi="Humnst777 BT" w:cs="Humnst777 BT"/>
          <w:color w:val="4472C4" w:themeColor="accent5"/>
          <w:sz w:val="20"/>
          <w:szCs w:val="20"/>
        </w:rPr>
        <w:t xml:space="preserve">the following: </w:t>
      </w:r>
    </w:p>
    <w:p w14:paraId="12110AD5" w14:textId="32D93564" w:rsidR="004D2EA5" w:rsidRDefault="004D2EA5" w:rsidP="004D2EA5">
      <w:pPr>
        <w:pStyle w:val="ListParagraph"/>
        <w:numPr>
          <w:ilvl w:val="3"/>
          <w:numId w:val="11"/>
        </w:numPr>
        <w:spacing w:after="0"/>
        <w:ind w:left="709" w:hanging="425"/>
        <w:jc w:val="both"/>
        <w:rPr>
          <w:rFonts w:ascii="Humnst777 BT" w:eastAsia="Humnst777 BT" w:hAnsi="Humnst777 BT" w:cs="Humnst777 BT"/>
          <w:color w:val="4472C4" w:themeColor="accent5"/>
          <w:sz w:val="20"/>
          <w:szCs w:val="20"/>
        </w:rPr>
      </w:pPr>
      <w:r w:rsidRPr="004D2EA5">
        <w:rPr>
          <w:rFonts w:ascii="Humnst777 BT" w:eastAsia="Humnst777 BT" w:hAnsi="Humnst777 BT" w:cs="Humnst777 BT"/>
          <w:color w:val="4472C4" w:themeColor="accent5"/>
          <w:sz w:val="20"/>
          <w:szCs w:val="20"/>
        </w:rPr>
        <w:t>A</w:t>
      </w:r>
      <w:r w:rsidR="004D42DD" w:rsidRPr="004D2EA5">
        <w:rPr>
          <w:rFonts w:ascii="Humnst777 BT" w:eastAsia="Humnst777 BT" w:hAnsi="Humnst777 BT" w:cs="Humnst777 BT"/>
          <w:color w:val="4472C4" w:themeColor="accent5"/>
          <w:sz w:val="20"/>
          <w:szCs w:val="20"/>
        </w:rPr>
        <w:t xml:space="preserve">rrangements, including how these arrangements support the achievement of the </w:t>
      </w:r>
      <w:r w:rsidR="00FC6EEE" w:rsidRPr="004D2EA5">
        <w:rPr>
          <w:rFonts w:ascii="Humnst777 BT" w:eastAsia="Humnst777 BT" w:hAnsi="Humnst777 BT" w:cs="Humnst777 BT"/>
          <w:color w:val="4472C4" w:themeColor="accent5"/>
          <w:sz w:val="20"/>
          <w:szCs w:val="20"/>
        </w:rPr>
        <w:t xml:space="preserve">course </w:t>
      </w:r>
      <w:r w:rsidR="004D42DD" w:rsidRPr="004D2EA5">
        <w:rPr>
          <w:rFonts w:ascii="Humnst777 BT" w:eastAsia="Humnst777 BT" w:hAnsi="Humnst777 BT" w:cs="Humnst777 BT"/>
          <w:color w:val="4472C4" w:themeColor="accent5"/>
          <w:sz w:val="20"/>
          <w:szCs w:val="20"/>
        </w:rPr>
        <w:t xml:space="preserve">aims and learning outcomes and any regulatory body requirements for placement learning (e.g. audit of placements, practice learning facilitator preparation etc). </w:t>
      </w:r>
    </w:p>
    <w:p w14:paraId="3A0045CF" w14:textId="2FFD8070" w:rsidR="004D42DD" w:rsidRDefault="004D2EA5" w:rsidP="004D2EA5">
      <w:pPr>
        <w:pStyle w:val="ListParagraph"/>
        <w:numPr>
          <w:ilvl w:val="3"/>
          <w:numId w:val="11"/>
        </w:numPr>
        <w:spacing w:before="120" w:after="120"/>
        <w:ind w:left="709" w:hanging="425"/>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Where applicable, arrangements in place for students who are unable to complete a compulsory placement element through no fault of their own.</w:t>
      </w:r>
    </w:p>
    <w:p w14:paraId="2116F9D7" w14:textId="77777777" w:rsidR="004D2EA5" w:rsidRDefault="004D2EA5" w:rsidP="004D2EA5">
      <w:pPr>
        <w:pStyle w:val="ListParagraph"/>
        <w:numPr>
          <w:ilvl w:val="3"/>
          <w:numId w:val="11"/>
        </w:numPr>
        <w:spacing w:before="120" w:after="120"/>
        <w:ind w:left="709" w:hanging="425"/>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 xml:space="preserve">Where the proposed course, </w:t>
      </w:r>
      <w:r w:rsidR="004D42DD" w:rsidRPr="004D2EA5">
        <w:rPr>
          <w:rFonts w:ascii="Humnst777 BT" w:eastAsia="Humnst777 BT" w:hAnsi="Humnst777 BT" w:cs="Humnst777 BT"/>
          <w:color w:val="4472C4" w:themeColor="accent5"/>
          <w:sz w:val="20"/>
          <w:szCs w:val="20"/>
        </w:rPr>
        <w:t xml:space="preserve">or any of its constituent modules are to be delivered by distance learning, </w:t>
      </w:r>
      <w:r>
        <w:rPr>
          <w:rFonts w:ascii="Humnst777 BT" w:eastAsia="Humnst777 BT" w:hAnsi="Humnst777 BT" w:cs="Humnst777 BT"/>
          <w:color w:val="4472C4" w:themeColor="accent5"/>
          <w:sz w:val="20"/>
          <w:szCs w:val="20"/>
        </w:rPr>
        <w:t xml:space="preserve">also consider: </w:t>
      </w:r>
    </w:p>
    <w:p w14:paraId="31490055" w14:textId="5650EACB" w:rsidR="004D2EA5" w:rsidRDefault="004D42DD" w:rsidP="004D2EA5">
      <w:pPr>
        <w:pStyle w:val="ListParagraph"/>
        <w:numPr>
          <w:ilvl w:val="0"/>
          <w:numId w:val="27"/>
        </w:numPr>
        <w:spacing w:before="120" w:after="120"/>
        <w:jc w:val="both"/>
        <w:rPr>
          <w:rFonts w:ascii="Humnst777 BT" w:eastAsia="Humnst777 BT" w:hAnsi="Humnst777 BT" w:cs="Humnst777 BT"/>
          <w:color w:val="4472C4" w:themeColor="accent5"/>
          <w:sz w:val="20"/>
          <w:szCs w:val="20"/>
        </w:rPr>
      </w:pPr>
      <w:r w:rsidRPr="004D2EA5">
        <w:rPr>
          <w:rFonts w:ascii="Humnst777 BT" w:eastAsia="Humnst777 BT" w:hAnsi="Humnst777 BT" w:cs="Humnst777 BT"/>
          <w:color w:val="4472C4" w:themeColor="accent5"/>
          <w:sz w:val="20"/>
          <w:szCs w:val="20"/>
        </w:rPr>
        <w:t xml:space="preserve">the means of delivery of the </w:t>
      </w:r>
      <w:r w:rsidR="00FC6EEE" w:rsidRPr="004D2EA5">
        <w:rPr>
          <w:rFonts w:ascii="Humnst777 BT" w:eastAsia="Humnst777 BT" w:hAnsi="Humnst777 BT" w:cs="Humnst777 BT"/>
          <w:color w:val="4472C4" w:themeColor="accent5"/>
          <w:sz w:val="20"/>
          <w:szCs w:val="20"/>
        </w:rPr>
        <w:t>course</w:t>
      </w:r>
      <w:r w:rsidRPr="004D2EA5">
        <w:rPr>
          <w:rFonts w:ascii="Humnst777 BT" w:eastAsia="Humnst777 BT" w:hAnsi="Humnst777 BT" w:cs="Humnst777 BT"/>
          <w:color w:val="4472C4" w:themeColor="accent5"/>
          <w:sz w:val="20"/>
          <w:szCs w:val="20"/>
        </w:rPr>
        <w:t>, including the implications for access to information technology and other equipment</w:t>
      </w:r>
    </w:p>
    <w:p w14:paraId="112D9235" w14:textId="77777777" w:rsidR="004D2EA5" w:rsidRDefault="004D42DD" w:rsidP="004D2EA5">
      <w:pPr>
        <w:pStyle w:val="ListParagraph"/>
        <w:numPr>
          <w:ilvl w:val="0"/>
          <w:numId w:val="27"/>
        </w:numPr>
        <w:spacing w:before="120" w:after="120"/>
        <w:jc w:val="both"/>
        <w:rPr>
          <w:rFonts w:ascii="Humnst777 BT" w:eastAsia="Humnst777 BT" w:hAnsi="Humnst777 BT" w:cs="Humnst777 BT"/>
          <w:color w:val="4472C4" w:themeColor="accent5"/>
          <w:sz w:val="20"/>
          <w:szCs w:val="20"/>
        </w:rPr>
      </w:pPr>
      <w:r w:rsidRPr="004D2EA5">
        <w:rPr>
          <w:rFonts w:ascii="Humnst777 BT" w:eastAsia="Humnst777 BT" w:hAnsi="Humnst777 BT" w:cs="Humnst777 BT"/>
          <w:color w:val="4472C4" w:themeColor="accent5"/>
          <w:sz w:val="20"/>
          <w:szCs w:val="20"/>
        </w:rPr>
        <w:t>how students will receive feedbac</w:t>
      </w:r>
      <w:r w:rsidR="004D2EA5">
        <w:rPr>
          <w:rFonts w:ascii="Humnst777 BT" w:eastAsia="Humnst777 BT" w:hAnsi="Humnst777 BT" w:cs="Humnst777 BT"/>
          <w:color w:val="4472C4" w:themeColor="accent5"/>
          <w:sz w:val="20"/>
          <w:szCs w:val="20"/>
        </w:rPr>
        <w:t xml:space="preserve">k and be </w:t>
      </w:r>
      <w:r w:rsidRPr="004D2EA5">
        <w:rPr>
          <w:rFonts w:ascii="Humnst777 BT" w:eastAsia="Humnst777 BT" w:hAnsi="Humnst777 BT" w:cs="Humnst777 BT"/>
          <w:color w:val="4472C4" w:themeColor="accent5"/>
          <w:sz w:val="20"/>
          <w:szCs w:val="20"/>
        </w:rPr>
        <w:t xml:space="preserve">able to communicate with members of staff; </w:t>
      </w:r>
    </w:p>
    <w:p w14:paraId="5D5713AD" w14:textId="77777777" w:rsidR="004D2EA5" w:rsidRDefault="004D42DD" w:rsidP="004D2EA5">
      <w:pPr>
        <w:pStyle w:val="ListParagraph"/>
        <w:numPr>
          <w:ilvl w:val="0"/>
          <w:numId w:val="27"/>
        </w:numPr>
        <w:spacing w:before="120" w:after="120"/>
        <w:jc w:val="both"/>
        <w:rPr>
          <w:rFonts w:ascii="Humnst777 BT" w:eastAsia="Humnst777 BT" w:hAnsi="Humnst777 BT" w:cs="Humnst777 BT"/>
          <w:color w:val="4472C4" w:themeColor="accent5"/>
          <w:sz w:val="20"/>
          <w:szCs w:val="20"/>
        </w:rPr>
      </w:pPr>
      <w:r w:rsidRPr="004D2EA5">
        <w:rPr>
          <w:rFonts w:ascii="Humnst777 BT" w:eastAsia="Humnst777 BT" w:hAnsi="Humnst777 BT" w:cs="Humnst777 BT"/>
          <w:color w:val="4472C4" w:themeColor="accent5"/>
          <w:sz w:val="20"/>
          <w:szCs w:val="20"/>
        </w:rPr>
        <w:t>staff development</w:t>
      </w:r>
      <w:r w:rsidR="004D2EA5">
        <w:rPr>
          <w:rFonts w:ascii="Humnst777 BT" w:eastAsia="Humnst777 BT" w:hAnsi="Humnst777 BT" w:cs="Humnst777 BT"/>
          <w:color w:val="4472C4" w:themeColor="accent5"/>
          <w:sz w:val="20"/>
          <w:szCs w:val="20"/>
        </w:rPr>
        <w:t xml:space="preserve"> needs</w:t>
      </w:r>
      <w:r w:rsidRPr="004D2EA5">
        <w:rPr>
          <w:rFonts w:ascii="Humnst777 BT" w:eastAsia="Humnst777 BT" w:hAnsi="Humnst777 BT" w:cs="Humnst777 BT"/>
          <w:color w:val="4472C4" w:themeColor="accent5"/>
          <w:sz w:val="20"/>
          <w:szCs w:val="20"/>
        </w:rPr>
        <w:t xml:space="preserve"> </w:t>
      </w:r>
      <w:r w:rsidR="004D2EA5">
        <w:rPr>
          <w:rFonts w:ascii="Humnst777 BT" w:eastAsia="Humnst777 BT" w:hAnsi="Humnst777 BT" w:cs="Humnst777 BT"/>
          <w:color w:val="4472C4" w:themeColor="accent5"/>
          <w:sz w:val="20"/>
          <w:szCs w:val="20"/>
        </w:rPr>
        <w:t>so that</w:t>
      </w:r>
      <w:r w:rsidRPr="004D2EA5">
        <w:rPr>
          <w:rFonts w:ascii="Humnst777 BT" w:eastAsia="Humnst777 BT" w:hAnsi="Humnst777 BT" w:cs="Humnst777 BT"/>
          <w:color w:val="4472C4" w:themeColor="accent5"/>
          <w:sz w:val="20"/>
          <w:szCs w:val="20"/>
        </w:rPr>
        <w:t xml:space="preserve"> </w:t>
      </w:r>
      <w:r w:rsidR="00FC6EEE" w:rsidRPr="004D2EA5">
        <w:rPr>
          <w:rFonts w:ascii="Humnst777 BT" w:eastAsia="Humnst777 BT" w:hAnsi="Humnst777 BT" w:cs="Humnst777 BT"/>
          <w:color w:val="4472C4" w:themeColor="accent5"/>
          <w:sz w:val="20"/>
          <w:szCs w:val="20"/>
        </w:rPr>
        <w:t xml:space="preserve">course </w:t>
      </w:r>
      <w:r w:rsidRPr="004D2EA5">
        <w:rPr>
          <w:rFonts w:ascii="Humnst777 BT" w:eastAsia="Humnst777 BT" w:hAnsi="Humnst777 BT" w:cs="Humnst777 BT"/>
          <w:color w:val="4472C4" w:themeColor="accent5"/>
          <w:sz w:val="20"/>
          <w:szCs w:val="20"/>
        </w:rPr>
        <w:t>materials are kept up to date</w:t>
      </w:r>
    </w:p>
    <w:p w14:paraId="2D361727" w14:textId="77777777" w:rsidR="004D2EA5" w:rsidRDefault="004D2EA5" w:rsidP="004D2EA5">
      <w:pPr>
        <w:pStyle w:val="ListParagraph"/>
        <w:numPr>
          <w:ilvl w:val="0"/>
          <w:numId w:val="27"/>
        </w:numPr>
        <w:spacing w:before="120" w:after="120"/>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 xml:space="preserve">any </w:t>
      </w:r>
      <w:r w:rsidR="004D42DD" w:rsidRPr="004D2EA5">
        <w:rPr>
          <w:rFonts w:ascii="Humnst777 BT" w:eastAsia="Humnst777 BT" w:hAnsi="Humnst777 BT" w:cs="Humnst777 BT"/>
          <w:color w:val="4472C4" w:themeColor="accent5"/>
          <w:sz w:val="20"/>
          <w:szCs w:val="20"/>
        </w:rPr>
        <w:t>hardware and</w:t>
      </w:r>
      <w:r>
        <w:rPr>
          <w:rFonts w:ascii="Humnst777 BT" w:eastAsia="Humnst777 BT" w:hAnsi="Humnst777 BT" w:cs="Humnst777 BT"/>
          <w:color w:val="4472C4" w:themeColor="accent5"/>
          <w:sz w:val="20"/>
          <w:szCs w:val="20"/>
        </w:rPr>
        <w:t>/or</w:t>
      </w:r>
      <w:r w:rsidR="004D42DD" w:rsidRPr="004D2EA5">
        <w:rPr>
          <w:rFonts w:ascii="Humnst777 BT" w:eastAsia="Humnst777 BT" w:hAnsi="Humnst777 BT" w:cs="Humnst777 BT"/>
          <w:color w:val="4472C4" w:themeColor="accent5"/>
          <w:sz w:val="20"/>
          <w:szCs w:val="20"/>
        </w:rPr>
        <w:t xml:space="preserve"> software requirements</w:t>
      </w:r>
      <w:r>
        <w:rPr>
          <w:rFonts w:ascii="Humnst777 BT" w:eastAsia="Humnst777 BT" w:hAnsi="Humnst777 BT" w:cs="Humnst777 BT"/>
          <w:color w:val="4472C4" w:themeColor="accent5"/>
          <w:sz w:val="20"/>
          <w:szCs w:val="20"/>
        </w:rPr>
        <w:t xml:space="preserve"> and support needs from </w:t>
      </w:r>
      <w:r w:rsidR="004D42DD" w:rsidRPr="004D2EA5">
        <w:rPr>
          <w:rFonts w:ascii="Humnst777 BT" w:eastAsia="Humnst777 BT" w:hAnsi="Humnst777 BT" w:cs="Humnst777 BT"/>
          <w:color w:val="4472C4" w:themeColor="accent5"/>
          <w:sz w:val="20"/>
          <w:szCs w:val="20"/>
        </w:rPr>
        <w:t xml:space="preserve">technical and administrative support staff.  </w:t>
      </w:r>
    </w:p>
    <w:p w14:paraId="3782D909" w14:textId="457B7226" w:rsidR="004D42DD" w:rsidRPr="004D2EA5" w:rsidRDefault="004D2EA5" w:rsidP="004D2EA5">
      <w:pPr>
        <w:spacing w:before="120" w:after="120"/>
        <w:ind w:left="284"/>
        <w:jc w:val="both"/>
        <w:rPr>
          <w:rFonts w:ascii="Humnst777 BT" w:eastAsia="Humnst777 BT" w:hAnsi="Humnst777 BT" w:cs="Humnst777 BT"/>
          <w:i/>
          <w:iCs/>
          <w:color w:val="4472C4" w:themeColor="accent5"/>
          <w:sz w:val="20"/>
          <w:szCs w:val="20"/>
        </w:rPr>
      </w:pPr>
      <w:r w:rsidRPr="004D2EA5">
        <w:rPr>
          <w:rFonts w:ascii="Humnst777 BT" w:eastAsia="Humnst777 BT" w:hAnsi="Humnst777 BT" w:cs="Humnst777 BT"/>
          <w:i/>
          <w:iCs/>
          <w:color w:val="4472C4" w:themeColor="accent5"/>
          <w:sz w:val="20"/>
          <w:szCs w:val="20"/>
        </w:rPr>
        <w:t>S</w:t>
      </w:r>
      <w:r w:rsidR="004D42DD" w:rsidRPr="004D2EA5">
        <w:rPr>
          <w:rFonts w:ascii="Humnst777 BT" w:eastAsia="Humnst777 BT" w:hAnsi="Humnst777 BT" w:cs="Humnst777 BT"/>
          <w:i/>
          <w:iCs/>
          <w:color w:val="4472C4" w:themeColor="accent5"/>
          <w:sz w:val="20"/>
          <w:szCs w:val="20"/>
        </w:rPr>
        <w:t>ample</w:t>
      </w:r>
      <w:r w:rsidRPr="004D2EA5">
        <w:rPr>
          <w:rFonts w:ascii="Humnst777 BT" w:eastAsia="Humnst777 BT" w:hAnsi="Humnst777 BT" w:cs="Humnst777 BT"/>
          <w:i/>
          <w:iCs/>
          <w:color w:val="4472C4" w:themeColor="accent5"/>
          <w:sz w:val="20"/>
          <w:szCs w:val="20"/>
        </w:rPr>
        <w:t>(s)</w:t>
      </w:r>
      <w:r w:rsidR="004D42DD" w:rsidRPr="004D2EA5">
        <w:rPr>
          <w:rFonts w:ascii="Humnst777 BT" w:eastAsia="Humnst777 BT" w:hAnsi="Humnst777 BT" w:cs="Humnst777 BT"/>
          <w:i/>
          <w:iCs/>
          <w:color w:val="4472C4" w:themeColor="accent5"/>
          <w:sz w:val="20"/>
          <w:szCs w:val="20"/>
        </w:rPr>
        <w:t xml:space="preserve"> of learning materials will need to be presented for approval including a fully worked through module. In this case, please liaise with the Quality and Standards Office. </w:t>
      </w:r>
    </w:p>
    <w:p w14:paraId="53D17347" w14:textId="77777777" w:rsidR="004D2EA5" w:rsidRDefault="001B676C" w:rsidP="001A312D">
      <w:pPr>
        <w:tabs>
          <w:tab w:val="right" w:pos="7920"/>
        </w:tabs>
        <w:spacing w:after="0"/>
        <w:ind w:left="284"/>
        <w:jc w:val="both"/>
        <w:rPr>
          <w:rFonts w:ascii="Humnst777 BT" w:eastAsia="Humnst777 BT" w:hAnsi="Humnst777 BT" w:cs="Humnst777 BT"/>
          <w:color w:val="4472C4" w:themeColor="accent5"/>
          <w:sz w:val="20"/>
          <w:szCs w:val="20"/>
        </w:rPr>
      </w:pPr>
      <w:r w:rsidRPr="009308EC">
        <w:rPr>
          <w:rFonts w:ascii="Humnst777 BT" w:eastAsia="Humnst777 BT" w:hAnsi="Humnst777 BT" w:cs="Humnst777 BT"/>
          <w:color w:val="4472C4" w:themeColor="accent5"/>
          <w:sz w:val="20"/>
          <w:szCs w:val="20"/>
        </w:rPr>
        <w:t>Apprenticeship courses should</w:t>
      </w:r>
      <w:r w:rsidR="004D2EA5">
        <w:rPr>
          <w:rFonts w:ascii="Humnst777 BT" w:eastAsia="Humnst777 BT" w:hAnsi="Humnst777 BT" w:cs="Humnst777 BT"/>
          <w:color w:val="4472C4" w:themeColor="accent5"/>
          <w:sz w:val="20"/>
          <w:szCs w:val="20"/>
        </w:rPr>
        <w:t xml:space="preserve"> also state the following:</w:t>
      </w:r>
      <w:r w:rsidRPr="009308EC">
        <w:rPr>
          <w:rFonts w:ascii="Humnst777 BT" w:eastAsia="Humnst777 BT" w:hAnsi="Humnst777 BT" w:cs="Humnst777 BT"/>
          <w:color w:val="4472C4" w:themeColor="accent5"/>
          <w:sz w:val="20"/>
          <w:szCs w:val="20"/>
        </w:rPr>
        <w:t xml:space="preserve"> </w:t>
      </w:r>
    </w:p>
    <w:p w14:paraId="041838B1" w14:textId="77777777" w:rsidR="00EA375E" w:rsidRDefault="00EA375E" w:rsidP="001A312D">
      <w:pPr>
        <w:pStyle w:val="ListParagraph"/>
        <w:numPr>
          <w:ilvl w:val="3"/>
          <w:numId w:val="11"/>
        </w:numPr>
        <w:spacing w:after="120"/>
        <w:ind w:left="709" w:hanging="425"/>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M</w:t>
      </w:r>
      <w:r w:rsidR="001B676C" w:rsidRPr="004D2EA5">
        <w:rPr>
          <w:rFonts w:ascii="Humnst777 BT" w:eastAsia="Humnst777 BT" w:hAnsi="Humnst777 BT" w:cs="Humnst777 BT"/>
          <w:color w:val="4472C4" w:themeColor="accent5"/>
          <w:sz w:val="20"/>
          <w:szCs w:val="20"/>
        </w:rPr>
        <w:t xml:space="preserve">ode(s) of delivery, which will depend on factors such as the pedagogic approach, employer, and any individual apprenticeship, PSRB or fitness to practice requirements i.e. (for instance needing to achieve a minimum level of competence before starting on the job). </w:t>
      </w:r>
    </w:p>
    <w:p w14:paraId="30BDD48A" w14:textId="5B95C5E9" w:rsidR="00EA375E" w:rsidRPr="00EA375E" w:rsidRDefault="00EA375E" w:rsidP="00EA375E">
      <w:pPr>
        <w:pStyle w:val="ListParagraph"/>
        <w:spacing w:before="120" w:after="120"/>
        <w:ind w:left="709"/>
        <w:jc w:val="both"/>
        <w:rPr>
          <w:rFonts w:ascii="Humnst777 BT" w:eastAsia="Humnst777 BT" w:hAnsi="Humnst777 BT" w:cs="Humnst777 BT"/>
          <w:i/>
          <w:iCs/>
          <w:color w:val="4472C4" w:themeColor="accent5"/>
          <w:sz w:val="20"/>
          <w:szCs w:val="20"/>
        </w:rPr>
      </w:pPr>
      <w:r w:rsidRPr="00EA375E">
        <w:rPr>
          <w:rFonts w:ascii="Humnst777 BT" w:eastAsia="Humnst777 BT" w:hAnsi="Humnst777 BT" w:cs="Humnst777 BT"/>
          <w:i/>
          <w:iCs/>
          <w:color w:val="4472C4" w:themeColor="accent5"/>
          <w:sz w:val="20"/>
          <w:szCs w:val="20"/>
        </w:rPr>
        <w:t>D</w:t>
      </w:r>
      <w:r w:rsidR="001B676C" w:rsidRPr="00EA375E">
        <w:rPr>
          <w:rFonts w:ascii="Humnst777 BT" w:eastAsia="Humnst777 BT" w:hAnsi="Humnst777 BT" w:cs="Humnst777 BT"/>
          <w:i/>
          <w:iCs/>
          <w:color w:val="4472C4" w:themeColor="accent5"/>
          <w:sz w:val="20"/>
          <w:szCs w:val="20"/>
        </w:rPr>
        <w:t>elivery modes can include a range of approaches such as blended, supported online, work-integrated, and face-to-face learning, workshops and masterclasses. Employers should, , be actively involved in decisions and how and where the apprentice will undertake their learning.</w:t>
      </w:r>
    </w:p>
    <w:p w14:paraId="232C041B" w14:textId="10BEDFC4" w:rsidR="001B676C" w:rsidRDefault="00EA375E" w:rsidP="0081273C">
      <w:pPr>
        <w:pStyle w:val="ListParagraph"/>
        <w:numPr>
          <w:ilvl w:val="3"/>
          <w:numId w:val="11"/>
        </w:numPr>
        <w:spacing w:after="0"/>
        <w:ind w:left="709" w:hanging="425"/>
        <w:jc w:val="both"/>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H</w:t>
      </w:r>
      <w:r w:rsidR="003F7FA9" w:rsidRPr="00EA375E">
        <w:rPr>
          <w:rFonts w:ascii="Humnst777 BT" w:eastAsia="Humnst777 BT" w:hAnsi="Humnst777 BT" w:cs="Humnst777 BT"/>
          <w:color w:val="4472C4" w:themeColor="accent5"/>
          <w:sz w:val="20"/>
          <w:szCs w:val="20"/>
        </w:rPr>
        <w:t>ow outstanding integration of on and off the job training will be evidenced.</w:t>
      </w:r>
    </w:p>
    <w:p w14:paraId="6D767B61" w14:textId="4F808544" w:rsidR="00EA375E" w:rsidRDefault="00EA375E" w:rsidP="0081273C">
      <w:pPr>
        <w:pStyle w:val="ListParagraph"/>
        <w:numPr>
          <w:ilvl w:val="3"/>
          <w:numId w:val="11"/>
        </w:numPr>
        <w:spacing w:after="0"/>
        <w:ind w:left="709" w:hanging="425"/>
        <w:jc w:val="both"/>
        <w:rPr>
          <w:rFonts w:ascii="Humnst777 BT" w:eastAsia="Humnst777 BT" w:hAnsi="Humnst777 BT" w:cs="Humnst777 BT"/>
          <w:color w:val="4472C4" w:themeColor="accent5"/>
          <w:sz w:val="20"/>
          <w:szCs w:val="20"/>
        </w:rPr>
      </w:pPr>
      <w:r w:rsidRPr="00EA375E">
        <w:rPr>
          <w:rFonts w:ascii="Humnst777 BT" w:eastAsia="Humnst777 BT" w:hAnsi="Humnst777 BT" w:cs="Humnst777 BT"/>
          <w:color w:val="4472C4" w:themeColor="accent5"/>
          <w:sz w:val="20"/>
          <w:szCs w:val="20"/>
        </w:rPr>
        <w:t xml:space="preserve">How mentors </w:t>
      </w:r>
      <w:r>
        <w:rPr>
          <w:rFonts w:ascii="Humnst777 BT" w:eastAsia="Humnst777 BT" w:hAnsi="Humnst777 BT" w:cs="Humnst777 BT"/>
          <w:color w:val="4472C4" w:themeColor="accent5"/>
          <w:sz w:val="20"/>
          <w:szCs w:val="20"/>
        </w:rPr>
        <w:t xml:space="preserve">will </w:t>
      </w:r>
      <w:r w:rsidRPr="00EA375E">
        <w:rPr>
          <w:rFonts w:ascii="Humnst777 BT" w:eastAsia="Humnst777 BT" w:hAnsi="Humnst777 BT" w:cs="Humnst777 BT"/>
          <w:color w:val="4472C4" w:themeColor="accent5"/>
          <w:sz w:val="20"/>
          <w:szCs w:val="20"/>
        </w:rPr>
        <w:t>be identified/trained/used to assess and support apprentices</w:t>
      </w:r>
    </w:p>
    <w:p w14:paraId="10856A4E" w14:textId="77777777" w:rsidR="0081273C" w:rsidRPr="0081273C" w:rsidRDefault="0081273C" w:rsidP="0081273C">
      <w:pPr>
        <w:pStyle w:val="ListParagraph"/>
        <w:spacing w:after="0"/>
        <w:ind w:left="709"/>
        <w:jc w:val="both"/>
        <w:rPr>
          <w:rFonts w:ascii="Humnst777 BT" w:eastAsia="Humnst777 BT" w:hAnsi="Humnst777 BT" w:cs="Humnst777 BT"/>
          <w:color w:val="4472C4" w:themeColor="accent5"/>
          <w:sz w:val="20"/>
          <w:szCs w:val="20"/>
        </w:rPr>
      </w:pPr>
    </w:p>
    <w:p w14:paraId="21DF6A4B" w14:textId="77777777" w:rsidR="00035B91" w:rsidRPr="00F621D4" w:rsidRDefault="00035B91" w:rsidP="0081273C">
      <w:pPr>
        <w:pStyle w:val="Heading3"/>
        <w:numPr>
          <w:ilvl w:val="0"/>
          <w:numId w:val="11"/>
        </w:numPr>
        <w:spacing w:before="0" w:after="0"/>
        <w:ind w:left="284"/>
        <w:rPr>
          <w:sz w:val="20"/>
          <w:szCs w:val="20"/>
        </w:rPr>
      </w:pPr>
      <w:r w:rsidRPr="00F621D4">
        <w:rPr>
          <w:sz w:val="20"/>
          <w:szCs w:val="20"/>
        </w:rPr>
        <w:t>Collaborative Arrangements (if any)</w:t>
      </w:r>
    </w:p>
    <w:p w14:paraId="1F6F77F3" w14:textId="77777777" w:rsidR="003D16D6" w:rsidRDefault="003D16D6" w:rsidP="00EA375E">
      <w:pPr>
        <w:spacing w:after="0"/>
        <w:ind w:left="284"/>
        <w:jc w:val="both"/>
        <w:rPr>
          <w:rFonts w:ascii="Humnst777 BT" w:eastAsia="Humnst777 BT" w:hAnsi="Humnst777 BT" w:cs="Humnst777 BT"/>
          <w:color w:val="4472C4" w:themeColor="accent5"/>
          <w:sz w:val="20"/>
          <w:szCs w:val="20"/>
        </w:rPr>
      </w:pPr>
    </w:p>
    <w:p w14:paraId="12FD8D8D" w14:textId="52D3B910" w:rsidR="00035B91" w:rsidRPr="00F621D4" w:rsidRDefault="00035B91" w:rsidP="00EA375E">
      <w:pPr>
        <w:spacing w:after="0"/>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Please consider only current or intended formal collaborative arrangements, ex</w:t>
      </w:r>
      <w:r w:rsidR="00474499" w:rsidRPr="00F621D4">
        <w:rPr>
          <w:rFonts w:ascii="Humnst777 BT" w:eastAsia="Humnst777 BT" w:hAnsi="Humnst777 BT" w:cs="Humnst777 BT"/>
          <w:color w:val="4472C4" w:themeColor="accent5"/>
          <w:sz w:val="20"/>
          <w:szCs w:val="20"/>
        </w:rPr>
        <w:t>cluding potential arrangements</w:t>
      </w:r>
      <w:r w:rsidRPr="00F621D4">
        <w:rPr>
          <w:rFonts w:ascii="Humnst777 BT" w:eastAsia="Humnst777 BT" w:hAnsi="Humnst777 BT" w:cs="Humnst777 BT"/>
          <w:color w:val="4472C4" w:themeColor="accent5"/>
          <w:sz w:val="20"/>
          <w:szCs w:val="20"/>
        </w:rPr>
        <w:t xml:space="preserve">. Placement arrangements should be considered in section </w:t>
      </w:r>
      <w:r w:rsidR="0093204C" w:rsidRPr="00F621D4">
        <w:rPr>
          <w:rFonts w:ascii="Humnst777 BT" w:eastAsia="Humnst777 BT" w:hAnsi="Humnst777 BT" w:cs="Humnst777 BT"/>
          <w:color w:val="4472C4" w:themeColor="accent5"/>
          <w:sz w:val="20"/>
          <w:szCs w:val="20"/>
        </w:rPr>
        <w:t>7</w:t>
      </w:r>
      <w:r w:rsidRPr="00F621D4">
        <w:rPr>
          <w:rFonts w:ascii="Humnst777 BT" w:eastAsia="Humnst777 BT" w:hAnsi="Humnst777 BT" w:cs="Humnst777 BT"/>
          <w:color w:val="4472C4" w:themeColor="accent5"/>
          <w:sz w:val="20"/>
          <w:szCs w:val="20"/>
        </w:rPr>
        <w:t>, above</w:t>
      </w:r>
      <w:r w:rsidR="00EA375E">
        <w:rPr>
          <w:rFonts w:ascii="Humnst777 BT" w:eastAsia="Humnst777 BT" w:hAnsi="Humnst777 BT" w:cs="Humnst777 BT"/>
          <w:color w:val="4472C4" w:themeColor="accent5"/>
          <w:sz w:val="20"/>
          <w:szCs w:val="20"/>
        </w:rPr>
        <w:t>.</w:t>
      </w:r>
    </w:p>
    <w:p w14:paraId="0885516A" w14:textId="3BFE4F58" w:rsidR="00EA375E" w:rsidRDefault="0090121C" w:rsidP="00EA375E">
      <w:pPr>
        <w:spacing w:after="0"/>
        <w:ind w:left="284"/>
        <w:jc w:val="both"/>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Where </w:t>
      </w:r>
      <w:r w:rsidR="004A11CB" w:rsidRPr="00F621D4">
        <w:rPr>
          <w:rFonts w:ascii="Humnst777 BT" w:eastAsia="Humnst777 BT" w:hAnsi="Humnst777 BT" w:cs="Humnst777 BT"/>
          <w:color w:val="4472C4" w:themeColor="accent5"/>
          <w:sz w:val="20"/>
          <w:szCs w:val="20"/>
        </w:rPr>
        <w:t>course</w:t>
      </w:r>
      <w:r w:rsidRPr="00F621D4">
        <w:rPr>
          <w:rFonts w:ascii="Humnst777 BT" w:eastAsia="Humnst777 BT" w:hAnsi="Humnst777 BT" w:cs="Humnst777 BT"/>
          <w:color w:val="4472C4" w:themeColor="accent5"/>
          <w:sz w:val="20"/>
          <w:szCs w:val="20"/>
        </w:rPr>
        <w:t xml:space="preserve"> </w:t>
      </w:r>
      <w:r w:rsidR="00EA375E">
        <w:rPr>
          <w:rFonts w:ascii="Humnst777 BT" w:eastAsia="Humnst777 BT" w:hAnsi="Humnst777 BT" w:cs="Humnst777 BT"/>
          <w:color w:val="4472C4" w:themeColor="accent5"/>
          <w:sz w:val="20"/>
          <w:szCs w:val="20"/>
        </w:rPr>
        <w:t>is</w:t>
      </w:r>
      <w:r w:rsidRPr="00F621D4">
        <w:rPr>
          <w:rFonts w:ascii="Humnst777 BT" w:eastAsia="Humnst777 BT" w:hAnsi="Humnst777 BT" w:cs="Humnst777 BT"/>
          <w:color w:val="4472C4" w:themeColor="accent5"/>
          <w:sz w:val="20"/>
          <w:szCs w:val="20"/>
        </w:rPr>
        <w:t xml:space="preserve"> franchised, detail</w:t>
      </w:r>
      <w:r w:rsidR="00EA375E">
        <w:rPr>
          <w:rFonts w:ascii="Humnst777 BT" w:eastAsia="Humnst777 BT" w:hAnsi="Humnst777 BT" w:cs="Humnst777 BT"/>
          <w:color w:val="4472C4" w:themeColor="accent5"/>
          <w:sz w:val="20"/>
          <w:szCs w:val="20"/>
        </w:rPr>
        <w:t>s on</w:t>
      </w:r>
      <w:r w:rsidRPr="00F621D4">
        <w:rPr>
          <w:rFonts w:ascii="Humnst777 BT" w:eastAsia="Humnst777 BT" w:hAnsi="Humnst777 BT" w:cs="Humnst777 BT"/>
          <w:color w:val="4472C4" w:themeColor="accent5"/>
          <w:sz w:val="20"/>
          <w:szCs w:val="20"/>
        </w:rPr>
        <w:t xml:space="preserve"> delivery arrangements should be included in the ‘</w:t>
      </w:r>
      <w:r w:rsidR="004A11CB" w:rsidRPr="00F621D4">
        <w:rPr>
          <w:rFonts w:ascii="Humnst777 BT" w:eastAsia="Humnst777 BT" w:hAnsi="Humnst777 BT" w:cs="Humnst777 BT"/>
          <w:color w:val="4472C4" w:themeColor="accent5"/>
          <w:sz w:val="20"/>
          <w:szCs w:val="20"/>
        </w:rPr>
        <w:t xml:space="preserve">Course </w:t>
      </w:r>
      <w:r w:rsidRPr="00F621D4">
        <w:rPr>
          <w:rFonts w:ascii="Humnst777 BT" w:eastAsia="Humnst777 BT" w:hAnsi="Humnst777 BT" w:cs="Humnst777 BT"/>
          <w:color w:val="4472C4" w:themeColor="accent5"/>
          <w:sz w:val="20"/>
          <w:szCs w:val="20"/>
        </w:rPr>
        <w:t xml:space="preserve">Document for Franchised </w:t>
      </w:r>
      <w:r w:rsidR="004A11CB" w:rsidRPr="00F621D4">
        <w:rPr>
          <w:rFonts w:ascii="Humnst777 BT" w:eastAsia="Humnst777 BT" w:hAnsi="Humnst777 BT" w:cs="Humnst777 BT"/>
          <w:color w:val="4472C4" w:themeColor="accent5"/>
          <w:sz w:val="20"/>
          <w:szCs w:val="20"/>
        </w:rPr>
        <w:t>Courses</w:t>
      </w:r>
      <w:r w:rsidR="00EA375E">
        <w:rPr>
          <w:rFonts w:ascii="Humnst777 BT" w:eastAsia="Humnst777 BT" w:hAnsi="Humnst777 BT" w:cs="Humnst777 BT"/>
          <w:color w:val="4472C4" w:themeColor="accent5"/>
          <w:sz w:val="20"/>
          <w:szCs w:val="20"/>
        </w:rPr>
        <w:t>.</w:t>
      </w:r>
      <w:r w:rsidR="004A11CB" w:rsidRPr="00F621D4">
        <w:rPr>
          <w:rFonts w:ascii="Humnst777 BT" w:eastAsia="Humnst777 BT" w:hAnsi="Humnst777 BT" w:cs="Humnst777 BT"/>
          <w:color w:val="4472C4" w:themeColor="accent5"/>
          <w:sz w:val="20"/>
          <w:szCs w:val="20"/>
        </w:rPr>
        <w:t>’</w:t>
      </w:r>
    </w:p>
    <w:p w14:paraId="2636B7F0" w14:textId="77777777" w:rsidR="00EA375E" w:rsidRPr="00EA375E" w:rsidRDefault="00EA375E" w:rsidP="00EA375E">
      <w:pPr>
        <w:spacing w:after="0"/>
        <w:ind w:left="284"/>
        <w:jc w:val="both"/>
        <w:rPr>
          <w:rFonts w:ascii="Humnst777 BT" w:eastAsia="Humnst777 BT" w:hAnsi="Humnst777 BT" w:cs="Humnst777 BT"/>
          <w:color w:val="4472C4" w:themeColor="accent5"/>
          <w:sz w:val="20"/>
          <w:szCs w:val="20"/>
        </w:rPr>
      </w:pPr>
    </w:p>
    <w:p w14:paraId="242C0695" w14:textId="073CDF58" w:rsidR="00035B91" w:rsidRPr="00F621D4" w:rsidRDefault="00AC0B30" w:rsidP="00EA375E">
      <w:pPr>
        <w:pStyle w:val="Heading3"/>
        <w:numPr>
          <w:ilvl w:val="0"/>
          <w:numId w:val="11"/>
        </w:numPr>
        <w:spacing w:before="0" w:after="0"/>
        <w:ind w:left="284"/>
        <w:rPr>
          <w:sz w:val="20"/>
          <w:szCs w:val="20"/>
        </w:rPr>
      </w:pPr>
      <w:r w:rsidRPr="00F621D4">
        <w:rPr>
          <w:sz w:val="20"/>
          <w:szCs w:val="20"/>
        </w:rPr>
        <w:t xml:space="preserve">Development of the </w:t>
      </w:r>
      <w:r w:rsidR="004A11CB" w:rsidRPr="00F621D4">
        <w:rPr>
          <w:sz w:val="20"/>
          <w:szCs w:val="20"/>
        </w:rPr>
        <w:t>course</w:t>
      </w:r>
      <w:r w:rsidRPr="00F621D4">
        <w:rPr>
          <w:sz w:val="20"/>
          <w:szCs w:val="20"/>
        </w:rPr>
        <w:t xml:space="preserve">: </w:t>
      </w:r>
      <w:r w:rsidR="00035B91" w:rsidRPr="00F621D4">
        <w:rPr>
          <w:sz w:val="20"/>
          <w:szCs w:val="20"/>
        </w:rPr>
        <w:t>External Professional, Statutory and Regulatory Bodies (PSRBs) (if any)</w:t>
      </w:r>
      <w:r w:rsidRPr="00F621D4">
        <w:rPr>
          <w:sz w:val="20"/>
          <w:szCs w:val="20"/>
        </w:rPr>
        <w:t xml:space="preserve">, </w:t>
      </w:r>
      <w:r w:rsidR="002D48BB" w:rsidRPr="00F621D4">
        <w:rPr>
          <w:sz w:val="20"/>
          <w:szCs w:val="20"/>
        </w:rPr>
        <w:t>l</w:t>
      </w:r>
      <w:r w:rsidR="00F92C09" w:rsidRPr="00F621D4">
        <w:rPr>
          <w:sz w:val="20"/>
          <w:szCs w:val="20"/>
        </w:rPr>
        <w:t xml:space="preserve">inks with </w:t>
      </w:r>
      <w:r w:rsidR="002D48BB" w:rsidRPr="00F621D4">
        <w:rPr>
          <w:sz w:val="20"/>
          <w:szCs w:val="20"/>
        </w:rPr>
        <w:t>i</w:t>
      </w:r>
      <w:r w:rsidR="00F92C09" w:rsidRPr="00F621D4">
        <w:rPr>
          <w:sz w:val="20"/>
          <w:szCs w:val="20"/>
        </w:rPr>
        <w:t>ndustry</w:t>
      </w:r>
      <w:r w:rsidRPr="00F621D4">
        <w:rPr>
          <w:sz w:val="20"/>
          <w:szCs w:val="20"/>
        </w:rPr>
        <w:t>,</w:t>
      </w:r>
      <w:r w:rsidR="002D48BB" w:rsidRPr="00F621D4">
        <w:rPr>
          <w:sz w:val="20"/>
          <w:szCs w:val="20"/>
        </w:rPr>
        <w:t xml:space="preserve"> external stakeholders and</w:t>
      </w:r>
      <w:r w:rsidRPr="00F621D4">
        <w:rPr>
          <w:sz w:val="20"/>
          <w:szCs w:val="20"/>
        </w:rPr>
        <w:t xml:space="preserve"> engagement with students</w:t>
      </w:r>
    </w:p>
    <w:p w14:paraId="0D29A230" w14:textId="77777777" w:rsidR="003D16D6" w:rsidRDefault="003D16D6" w:rsidP="00EA375E">
      <w:pPr>
        <w:spacing w:after="0"/>
        <w:ind w:left="284"/>
        <w:rPr>
          <w:rFonts w:ascii="Humnst777 BT" w:eastAsia="Humnst777 BT" w:hAnsi="Humnst777 BT" w:cs="Humnst777 BT"/>
          <w:color w:val="4472C4" w:themeColor="accent5"/>
          <w:sz w:val="20"/>
          <w:szCs w:val="20"/>
        </w:rPr>
      </w:pPr>
    </w:p>
    <w:p w14:paraId="5182FAB5" w14:textId="125976A7" w:rsidR="00EA375E" w:rsidRDefault="00EA375E" w:rsidP="00EA375E">
      <w:pPr>
        <w:spacing w:after="0"/>
        <w:ind w:left="284"/>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t xml:space="preserve">Please provide the following information: </w:t>
      </w:r>
    </w:p>
    <w:p w14:paraId="37217E57" w14:textId="00E96713" w:rsidR="00EA375E" w:rsidRPr="00EA375E" w:rsidRDefault="00EA375E" w:rsidP="00EA375E">
      <w:pPr>
        <w:pStyle w:val="ListParagraph"/>
        <w:numPr>
          <w:ilvl w:val="3"/>
          <w:numId w:val="11"/>
        </w:numPr>
        <w:spacing w:after="0"/>
        <w:ind w:left="709" w:hanging="425"/>
        <w:rPr>
          <w:rFonts w:ascii="Humnst777 BT" w:eastAsia="Humnst777 BT" w:hAnsi="Humnst777 BT" w:cs="Humnst777 BT"/>
          <w:color w:val="4472C4" w:themeColor="accent5"/>
          <w:sz w:val="20"/>
          <w:szCs w:val="20"/>
        </w:rPr>
      </w:pPr>
      <w:r w:rsidRPr="00EA375E">
        <w:rPr>
          <w:rFonts w:ascii="Humnst777 BT" w:eastAsia="Humnst777 BT" w:hAnsi="Humnst777 BT" w:cs="Humnst777 BT"/>
          <w:color w:val="4472C4" w:themeColor="accent5"/>
          <w:sz w:val="20"/>
          <w:szCs w:val="20"/>
        </w:rPr>
        <w:t>A</w:t>
      </w:r>
      <w:r w:rsidR="00035B91" w:rsidRPr="00EA375E">
        <w:rPr>
          <w:rFonts w:ascii="Humnst777 BT" w:eastAsia="Humnst777 BT" w:hAnsi="Humnst777 BT" w:cs="Humnst777 BT"/>
          <w:color w:val="4472C4" w:themeColor="accent5"/>
          <w:sz w:val="20"/>
          <w:szCs w:val="20"/>
        </w:rPr>
        <w:t>rrangements with PSRBs, including details of PSRB approval, annual monitoring or service-user requirements. Relevant supporting documentation may be given in an appendix, if necessary.</w:t>
      </w:r>
    </w:p>
    <w:p w14:paraId="18EA1B9D" w14:textId="77777777" w:rsidR="00EA375E" w:rsidRDefault="00EA375E" w:rsidP="00EA375E">
      <w:pPr>
        <w:pStyle w:val="ListParagraph"/>
        <w:numPr>
          <w:ilvl w:val="3"/>
          <w:numId w:val="11"/>
        </w:numPr>
        <w:spacing w:after="0"/>
        <w:ind w:left="709" w:hanging="425"/>
        <w:rPr>
          <w:rFonts w:ascii="Humnst777 BT" w:eastAsia="Humnst777 BT" w:hAnsi="Humnst777 BT" w:cs="Humnst777 BT"/>
          <w:color w:val="4472C4" w:themeColor="accent5"/>
          <w:sz w:val="20"/>
          <w:szCs w:val="20"/>
        </w:rPr>
      </w:pPr>
      <w:r>
        <w:rPr>
          <w:rFonts w:ascii="Humnst777 BT" w:eastAsia="Humnst777 BT" w:hAnsi="Humnst777 BT" w:cs="Humnst777 BT"/>
          <w:color w:val="4472C4" w:themeColor="accent5"/>
          <w:sz w:val="20"/>
          <w:szCs w:val="20"/>
        </w:rPr>
        <w:lastRenderedPageBreak/>
        <w:t>H</w:t>
      </w:r>
      <w:r w:rsidR="00AC0B30" w:rsidRPr="00EA375E">
        <w:rPr>
          <w:rFonts w:ascii="Humnst777 BT" w:eastAsia="Humnst777 BT" w:hAnsi="Humnst777 BT" w:cs="Humnst777 BT"/>
          <w:color w:val="4472C4" w:themeColor="accent5"/>
          <w:sz w:val="20"/>
          <w:szCs w:val="20"/>
        </w:rPr>
        <w:t xml:space="preserve">ow employers, stakeholders and students have been involved in the development of the </w:t>
      </w:r>
      <w:r w:rsidR="004A11CB" w:rsidRPr="00EA375E">
        <w:rPr>
          <w:rFonts w:ascii="Humnst777 BT" w:eastAsia="Humnst777 BT" w:hAnsi="Humnst777 BT" w:cs="Humnst777 BT"/>
          <w:color w:val="4472C4" w:themeColor="accent5"/>
          <w:sz w:val="20"/>
          <w:szCs w:val="20"/>
        </w:rPr>
        <w:t>course</w:t>
      </w:r>
      <w:r w:rsidR="00AC0B30" w:rsidRPr="00EA375E">
        <w:rPr>
          <w:rFonts w:ascii="Humnst777 BT" w:eastAsia="Humnst777 BT" w:hAnsi="Humnst777 BT" w:cs="Humnst777 BT"/>
          <w:color w:val="4472C4" w:themeColor="accent5"/>
          <w:sz w:val="20"/>
          <w:szCs w:val="20"/>
        </w:rPr>
        <w:t>.</w:t>
      </w:r>
      <w:r w:rsidR="00B0429B" w:rsidRPr="00EA375E">
        <w:rPr>
          <w:rFonts w:ascii="Humnst777 BT" w:eastAsia="Humnst777 BT" w:hAnsi="Humnst777 BT" w:cs="Humnst777 BT"/>
          <w:color w:val="4472C4" w:themeColor="accent5"/>
          <w:sz w:val="20"/>
          <w:szCs w:val="20"/>
        </w:rPr>
        <w:t xml:space="preserve"> If this is a new </w:t>
      </w:r>
      <w:r w:rsidR="004A11CB" w:rsidRPr="00EA375E">
        <w:rPr>
          <w:rFonts w:ascii="Humnst777 BT" w:eastAsia="Humnst777 BT" w:hAnsi="Humnst777 BT" w:cs="Humnst777 BT"/>
          <w:color w:val="4472C4" w:themeColor="accent5"/>
          <w:sz w:val="20"/>
          <w:szCs w:val="20"/>
        </w:rPr>
        <w:t xml:space="preserve">course </w:t>
      </w:r>
      <w:r w:rsidR="00B0429B" w:rsidRPr="00EA375E">
        <w:rPr>
          <w:rFonts w:ascii="Humnst777 BT" w:eastAsia="Humnst777 BT" w:hAnsi="Humnst777 BT" w:cs="Humnst777 BT"/>
          <w:color w:val="4472C4" w:themeColor="accent5"/>
          <w:sz w:val="20"/>
          <w:szCs w:val="20"/>
        </w:rPr>
        <w:t xml:space="preserve">with shared modules, existing students from other </w:t>
      </w:r>
      <w:r w:rsidR="004A11CB" w:rsidRPr="00EA375E">
        <w:rPr>
          <w:rFonts w:ascii="Humnst777 BT" w:eastAsia="Humnst777 BT" w:hAnsi="Humnst777 BT" w:cs="Humnst777 BT"/>
          <w:color w:val="4472C4" w:themeColor="accent5"/>
          <w:sz w:val="20"/>
          <w:szCs w:val="20"/>
        </w:rPr>
        <w:t xml:space="preserve">courses </w:t>
      </w:r>
      <w:r w:rsidR="00B0429B" w:rsidRPr="00EA375E">
        <w:rPr>
          <w:rFonts w:ascii="Humnst777 BT" w:eastAsia="Humnst777 BT" w:hAnsi="Humnst777 BT" w:cs="Humnst777 BT"/>
          <w:color w:val="4472C4" w:themeColor="accent5"/>
          <w:sz w:val="20"/>
          <w:szCs w:val="20"/>
        </w:rPr>
        <w:t>may be consulted.</w:t>
      </w:r>
    </w:p>
    <w:p w14:paraId="45B6B17A" w14:textId="1BD66DD6" w:rsidR="001B676C" w:rsidRPr="00EA375E" w:rsidRDefault="001B676C" w:rsidP="00EA375E">
      <w:pPr>
        <w:pStyle w:val="ListParagraph"/>
        <w:numPr>
          <w:ilvl w:val="3"/>
          <w:numId w:val="11"/>
        </w:numPr>
        <w:spacing w:after="0"/>
        <w:ind w:left="709" w:hanging="425"/>
        <w:rPr>
          <w:rFonts w:ascii="Humnst777 BT" w:eastAsia="Humnst777 BT" w:hAnsi="Humnst777 BT" w:cs="Humnst777 BT"/>
          <w:color w:val="4472C4" w:themeColor="accent5"/>
          <w:sz w:val="20"/>
          <w:szCs w:val="20"/>
        </w:rPr>
      </w:pPr>
      <w:r w:rsidRPr="00EA375E">
        <w:rPr>
          <w:rFonts w:ascii="Humnst777 BT" w:eastAsia="Humnst777 BT" w:hAnsi="Humnst777 BT" w:cs="Humnst777 BT"/>
          <w:color w:val="4472C4" w:themeColor="accent5"/>
          <w:sz w:val="20"/>
          <w:szCs w:val="20"/>
        </w:rPr>
        <w:t xml:space="preserve">For apprenticeships, Schools should seek appropriate employer organisations with which they can </w:t>
      </w:r>
      <w:r w:rsidR="000C6A95">
        <w:rPr>
          <w:rFonts w:ascii="Humnst777 BT" w:eastAsia="Humnst777 BT" w:hAnsi="Humnst777 BT" w:cs="Humnst777 BT"/>
          <w:color w:val="4472C4" w:themeColor="accent5"/>
          <w:sz w:val="20"/>
          <w:szCs w:val="20"/>
        </w:rPr>
        <w:t>co-create</w:t>
      </w:r>
      <w:r w:rsidRPr="00EA375E">
        <w:rPr>
          <w:rFonts w:ascii="Humnst777 BT" w:eastAsia="Humnst777 BT" w:hAnsi="Humnst777 BT" w:cs="Humnst777 BT"/>
          <w:color w:val="4472C4" w:themeColor="accent5"/>
          <w:sz w:val="20"/>
          <w:szCs w:val="20"/>
        </w:rPr>
        <w:t xml:space="preserve"> and deliver the apprenticeship programme. Records of meetings with Employers should be kept in order to record decisions and expectations regarding programme delivery. These may also be required by external regulatory bodies as part of overall approval process.</w:t>
      </w:r>
    </w:p>
    <w:p w14:paraId="69784332" w14:textId="77777777" w:rsidR="001B676C" w:rsidRPr="00F621D4" w:rsidRDefault="001B676C" w:rsidP="007A7687">
      <w:pPr>
        <w:pStyle w:val="PlainText"/>
        <w:jc w:val="both"/>
        <w:rPr>
          <w:rFonts w:ascii="Humnst777 BT" w:eastAsia="Humnst777 BT" w:hAnsi="Humnst777 BT" w:cs="Humnst777 BT"/>
          <w:b/>
          <w:sz w:val="20"/>
          <w:szCs w:val="20"/>
        </w:rPr>
      </w:pPr>
    </w:p>
    <w:p w14:paraId="6AF494D5" w14:textId="70F86730" w:rsidR="002A5756" w:rsidRPr="00F621D4" w:rsidRDefault="00035B91" w:rsidP="00EA375E">
      <w:pPr>
        <w:pStyle w:val="ListParagraph"/>
        <w:numPr>
          <w:ilvl w:val="0"/>
          <w:numId w:val="11"/>
        </w:numPr>
        <w:spacing w:after="0"/>
        <w:ind w:left="284"/>
        <w:rPr>
          <w:rFonts w:ascii="Humnst777 BT" w:eastAsia="Humnst777 BT" w:hAnsi="Humnst777 BT" w:cs="Humnst777 BT"/>
          <w:b/>
          <w:sz w:val="20"/>
          <w:szCs w:val="20"/>
        </w:rPr>
      </w:pPr>
      <w:r w:rsidRPr="00F621D4">
        <w:rPr>
          <w:rFonts w:ascii="Humnst777 BT" w:eastAsia="Humnst777 BT" w:hAnsi="Humnst777 BT" w:cs="Humnst777 BT"/>
          <w:b/>
          <w:sz w:val="20"/>
          <w:szCs w:val="20"/>
        </w:rPr>
        <w:t xml:space="preserve">Module </w:t>
      </w:r>
      <w:r w:rsidR="00E346AE" w:rsidRPr="00F621D4">
        <w:rPr>
          <w:rFonts w:ascii="Humnst777 BT" w:eastAsia="Humnst777 BT" w:hAnsi="Humnst777 BT" w:cs="Humnst777 BT"/>
          <w:b/>
          <w:sz w:val="20"/>
          <w:szCs w:val="20"/>
        </w:rPr>
        <w:t>Specifications</w:t>
      </w:r>
    </w:p>
    <w:p w14:paraId="5646C046" w14:textId="77777777" w:rsidR="003D16D6" w:rsidRDefault="003D16D6" w:rsidP="00EA375E">
      <w:pPr>
        <w:spacing w:after="0"/>
        <w:ind w:left="284"/>
        <w:rPr>
          <w:rFonts w:ascii="Humnst777 BT" w:eastAsia="Humnst777 BT" w:hAnsi="Humnst777 BT" w:cs="Humnst777 BT"/>
          <w:color w:val="4472C4" w:themeColor="accent5"/>
          <w:sz w:val="20"/>
          <w:szCs w:val="20"/>
        </w:rPr>
      </w:pPr>
    </w:p>
    <w:p w14:paraId="43FE96C8" w14:textId="113FC3C9" w:rsidR="00035B91" w:rsidRPr="00F621D4" w:rsidRDefault="0011280A" w:rsidP="00EA375E">
      <w:pPr>
        <w:spacing w:after="0"/>
        <w:ind w:left="284"/>
        <w:rPr>
          <w:rFonts w:ascii="Humnst777 BT" w:eastAsia="Humnst777 BT" w:hAnsi="Humnst777 BT" w:cs="Humnst777 BT"/>
          <w:color w:val="4472C4" w:themeColor="accent5"/>
          <w:sz w:val="20"/>
          <w:szCs w:val="20"/>
        </w:rPr>
      </w:pPr>
      <w:r w:rsidRPr="00F621D4">
        <w:rPr>
          <w:rFonts w:ascii="Humnst777 BT" w:eastAsia="Humnst777 BT" w:hAnsi="Humnst777 BT" w:cs="Humnst777 BT"/>
          <w:color w:val="4472C4" w:themeColor="accent5"/>
          <w:sz w:val="20"/>
          <w:szCs w:val="20"/>
        </w:rPr>
        <w:t xml:space="preserve">Please populate </w:t>
      </w:r>
      <w:r w:rsidR="00EA375E">
        <w:rPr>
          <w:rFonts w:ascii="Humnst777 BT" w:eastAsia="Humnst777 BT" w:hAnsi="Humnst777 BT" w:cs="Humnst777 BT"/>
          <w:color w:val="4472C4" w:themeColor="accent5"/>
          <w:sz w:val="20"/>
          <w:szCs w:val="20"/>
        </w:rPr>
        <w:t>the below ‘Module Mapping’</w:t>
      </w:r>
      <w:r w:rsidRPr="00F621D4">
        <w:rPr>
          <w:rFonts w:ascii="Humnst777 BT" w:eastAsia="Humnst777 BT" w:hAnsi="Humnst777 BT" w:cs="Humnst777 BT"/>
          <w:color w:val="4472C4" w:themeColor="accent5"/>
          <w:sz w:val="20"/>
          <w:szCs w:val="20"/>
        </w:rPr>
        <w:t xml:space="preserve"> table. The first five columns should match with the information provided within box 3.4 in </w:t>
      </w:r>
      <w:r w:rsidR="00956603" w:rsidRPr="00F621D4">
        <w:rPr>
          <w:rFonts w:ascii="Humnst777 BT" w:eastAsia="Humnst777 BT" w:hAnsi="Humnst777 BT" w:cs="Humnst777 BT"/>
          <w:color w:val="4472C4" w:themeColor="accent5"/>
          <w:sz w:val="20"/>
          <w:szCs w:val="20"/>
        </w:rPr>
        <w:t>Planning Proposal (</w:t>
      </w:r>
      <w:r w:rsidRPr="00F621D4">
        <w:rPr>
          <w:rFonts w:ascii="Humnst777 BT" w:eastAsia="Humnst777 BT" w:hAnsi="Humnst777 BT" w:cs="Humnst777 BT"/>
          <w:color w:val="4472C4" w:themeColor="accent5"/>
          <w:sz w:val="20"/>
          <w:szCs w:val="20"/>
        </w:rPr>
        <w:t>Part Two</w:t>
      </w:r>
      <w:r w:rsidR="00956603" w:rsidRPr="00F621D4">
        <w:rPr>
          <w:rFonts w:ascii="Humnst777 BT" w:eastAsia="Humnst777 BT" w:hAnsi="Humnst777 BT" w:cs="Humnst777 BT"/>
          <w:color w:val="4472C4" w:themeColor="accent5"/>
          <w:sz w:val="20"/>
          <w:szCs w:val="20"/>
        </w:rPr>
        <w:t>) as approved by the Faculty Portfolio Planning Executive</w:t>
      </w:r>
      <w:r w:rsidRPr="00F621D4">
        <w:rPr>
          <w:rFonts w:ascii="Humnst777 BT" w:eastAsia="Humnst777 BT" w:hAnsi="Humnst777 BT" w:cs="Humnst777 BT"/>
          <w:color w:val="4472C4" w:themeColor="accent5"/>
          <w:sz w:val="20"/>
          <w:szCs w:val="20"/>
        </w:rPr>
        <w:t>.</w:t>
      </w:r>
    </w:p>
    <w:p w14:paraId="76215043" w14:textId="77777777" w:rsidR="00FA0BF6" w:rsidRPr="00F621D4" w:rsidRDefault="00FA0BF6" w:rsidP="0011280A">
      <w:pPr>
        <w:tabs>
          <w:tab w:val="right" w:pos="7920"/>
        </w:tabs>
        <w:spacing w:line="240" w:lineRule="auto"/>
        <w:jc w:val="both"/>
        <w:rPr>
          <w:rFonts w:ascii="Humnst777 BT" w:eastAsia="Humnst777 BT" w:hAnsi="Humnst777 BT" w:cs="Humnst777 BT"/>
          <w:b/>
          <w:sz w:val="20"/>
          <w:szCs w:val="20"/>
        </w:rPr>
        <w:sectPr w:rsidR="00FA0BF6" w:rsidRPr="00F621D4" w:rsidSect="00F76924">
          <w:headerReference w:type="even" r:id="rId18"/>
          <w:headerReference w:type="default" r:id="rId19"/>
          <w:footerReference w:type="even" r:id="rId20"/>
          <w:footerReference w:type="default" r:id="rId21"/>
          <w:headerReference w:type="first" r:id="rId22"/>
          <w:footerReference w:type="first" r:id="rId23"/>
          <w:pgSz w:w="11906" w:h="16838"/>
          <w:pgMar w:top="709" w:right="1440" w:bottom="1276" w:left="1440" w:header="708" w:footer="708" w:gutter="0"/>
          <w:cols w:space="708"/>
          <w:docGrid w:linePitch="360"/>
        </w:sectPr>
      </w:pPr>
    </w:p>
    <w:tbl>
      <w:tblPr>
        <w:tblStyle w:val="TableGrid1"/>
        <w:tblW w:w="13584" w:type="dxa"/>
        <w:tblInd w:w="-998" w:type="dxa"/>
        <w:tblLook w:val="04A0" w:firstRow="1" w:lastRow="0" w:firstColumn="1" w:lastColumn="0" w:noHBand="0" w:noVBand="1"/>
      </w:tblPr>
      <w:tblGrid>
        <w:gridCol w:w="699"/>
        <w:gridCol w:w="2033"/>
        <w:gridCol w:w="1985"/>
        <w:gridCol w:w="1254"/>
        <w:gridCol w:w="1257"/>
        <w:gridCol w:w="1266"/>
        <w:gridCol w:w="1255"/>
        <w:gridCol w:w="1262"/>
        <w:gridCol w:w="1090"/>
        <w:gridCol w:w="1483"/>
      </w:tblGrid>
      <w:tr w:rsidR="00255306" w:rsidRPr="00F621D4" w14:paraId="24B02712" w14:textId="77777777" w:rsidTr="008D5BF1">
        <w:tc>
          <w:tcPr>
            <w:tcW w:w="646" w:type="dxa"/>
            <w:tcBorders>
              <w:top w:val="single" w:sz="4" w:space="0" w:color="auto"/>
              <w:left w:val="single" w:sz="4" w:space="0" w:color="auto"/>
              <w:bottom w:val="single" w:sz="4" w:space="0" w:color="auto"/>
              <w:right w:val="single" w:sz="4" w:space="0" w:color="auto"/>
            </w:tcBorders>
          </w:tcPr>
          <w:p w14:paraId="18EB439C" w14:textId="3A62AA05" w:rsidR="00255306" w:rsidRPr="00F621D4" w:rsidRDefault="00255306" w:rsidP="0011280A">
            <w:pPr>
              <w:tabs>
                <w:tab w:val="right" w:pos="7920"/>
              </w:tabs>
              <w:spacing w:line="240" w:lineRule="auto"/>
              <w:jc w:val="both"/>
              <w:rPr>
                <w:rFonts w:ascii="Humnst777 BT" w:eastAsia="Humnst777 BT" w:hAnsi="Humnst777 BT" w:cs="Humnst777 BT"/>
                <w:b/>
              </w:rPr>
            </w:pPr>
            <w:r w:rsidRPr="00F621D4">
              <w:rPr>
                <w:rFonts w:ascii="Humnst777 BT" w:eastAsia="Humnst777 BT" w:hAnsi="Humnst777 BT" w:cs="Humnst777 BT"/>
                <w:b/>
              </w:rPr>
              <w:lastRenderedPageBreak/>
              <w:t>Level</w:t>
            </w:r>
          </w:p>
        </w:tc>
        <w:tc>
          <w:tcPr>
            <w:tcW w:w="2048" w:type="dxa"/>
            <w:tcBorders>
              <w:top w:val="single" w:sz="4" w:space="0" w:color="auto"/>
              <w:left w:val="single" w:sz="4" w:space="0" w:color="auto"/>
              <w:bottom w:val="single" w:sz="4" w:space="0" w:color="auto"/>
              <w:right w:val="single" w:sz="4" w:space="0" w:color="auto"/>
            </w:tcBorders>
          </w:tcPr>
          <w:p w14:paraId="148D800E" w14:textId="77777777" w:rsidR="00255306" w:rsidRPr="00F621D4" w:rsidRDefault="00255306" w:rsidP="0011280A">
            <w:pPr>
              <w:tabs>
                <w:tab w:val="right" w:pos="7920"/>
              </w:tabs>
              <w:spacing w:line="240" w:lineRule="auto"/>
              <w:jc w:val="both"/>
              <w:rPr>
                <w:rFonts w:ascii="Humnst777 BT" w:eastAsia="Humnst777 BT" w:hAnsi="Humnst777 BT" w:cs="Humnst777 BT"/>
                <w:b/>
              </w:rPr>
            </w:pPr>
            <w:r w:rsidRPr="00F621D4">
              <w:rPr>
                <w:rFonts w:ascii="Humnst777 BT" w:eastAsia="Humnst777 BT" w:hAnsi="Humnst777 BT" w:cs="Humnst777 BT"/>
                <w:b/>
              </w:rPr>
              <w:t>Module Title</w:t>
            </w:r>
          </w:p>
        </w:tc>
        <w:tc>
          <w:tcPr>
            <w:tcW w:w="1997" w:type="dxa"/>
            <w:tcBorders>
              <w:top w:val="single" w:sz="4" w:space="0" w:color="auto"/>
              <w:left w:val="single" w:sz="4" w:space="0" w:color="auto"/>
              <w:bottom w:val="single" w:sz="4" w:space="0" w:color="auto"/>
              <w:right w:val="single" w:sz="4" w:space="0" w:color="auto"/>
            </w:tcBorders>
          </w:tcPr>
          <w:p w14:paraId="13765E66" w14:textId="774396A3" w:rsidR="00255306" w:rsidRPr="00F621D4" w:rsidRDefault="00255306" w:rsidP="0011280A">
            <w:pPr>
              <w:tabs>
                <w:tab w:val="right" w:pos="7920"/>
              </w:tabs>
              <w:spacing w:line="240" w:lineRule="auto"/>
              <w:jc w:val="both"/>
              <w:rPr>
                <w:rFonts w:ascii="Humnst777 BT" w:eastAsia="Humnst777 BT" w:hAnsi="Humnst777 BT" w:cs="Humnst777 BT"/>
                <w:b/>
              </w:rPr>
            </w:pPr>
            <w:r w:rsidRPr="00F621D4">
              <w:rPr>
                <w:rFonts w:ascii="Humnst777 BT" w:eastAsia="Humnst777 BT" w:hAnsi="Humnst777 BT" w:cs="Humnst777 BT"/>
                <w:b/>
              </w:rPr>
              <w:t xml:space="preserve">Parent </w:t>
            </w:r>
            <w:r w:rsidR="004A11CB" w:rsidRPr="00F621D4">
              <w:rPr>
                <w:rFonts w:ascii="Humnst777 BT" w:eastAsia="Humnst777 BT" w:hAnsi="Humnst777 BT" w:cs="Humnst777 BT"/>
                <w:b/>
              </w:rPr>
              <w:t>Course</w:t>
            </w:r>
            <w:r w:rsidRPr="00F621D4">
              <w:rPr>
                <w:rFonts w:ascii="Humnst777 BT" w:eastAsia="Humnst777 BT" w:hAnsi="Humnst777 BT" w:cs="Humnst777 BT"/>
                <w:b/>
              </w:rPr>
              <w:t xml:space="preserve"> </w:t>
            </w:r>
          </w:p>
        </w:tc>
        <w:tc>
          <w:tcPr>
            <w:tcW w:w="1259" w:type="dxa"/>
            <w:tcBorders>
              <w:top w:val="single" w:sz="4" w:space="0" w:color="auto"/>
              <w:left w:val="single" w:sz="4" w:space="0" w:color="auto"/>
              <w:bottom w:val="single" w:sz="4" w:space="0" w:color="auto"/>
              <w:right w:val="single" w:sz="4" w:space="0" w:color="auto"/>
            </w:tcBorders>
          </w:tcPr>
          <w:p w14:paraId="3F102335" w14:textId="77777777"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New or existing module</w:t>
            </w:r>
          </w:p>
        </w:tc>
        <w:tc>
          <w:tcPr>
            <w:tcW w:w="1261" w:type="dxa"/>
            <w:tcBorders>
              <w:top w:val="single" w:sz="4" w:space="0" w:color="auto"/>
              <w:left w:val="single" w:sz="4" w:space="0" w:color="auto"/>
              <w:bottom w:val="single" w:sz="4" w:space="0" w:color="auto"/>
              <w:right w:val="single" w:sz="4" w:space="0" w:color="auto"/>
            </w:tcBorders>
          </w:tcPr>
          <w:p w14:paraId="14AA88E2" w14:textId="06798FFB"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Core or optional</w:t>
            </w:r>
          </w:p>
        </w:tc>
        <w:tc>
          <w:tcPr>
            <w:tcW w:w="1266" w:type="dxa"/>
            <w:tcBorders>
              <w:top w:val="single" w:sz="4" w:space="0" w:color="auto"/>
              <w:left w:val="single" w:sz="4" w:space="0" w:color="auto"/>
              <w:bottom w:val="single" w:sz="4" w:space="0" w:color="auto"/>
              <w:right w:val="single" w:sz="4" w:space="0" w:color="auto"/>
            </w:tcBorders>
          </w:tcPr>
          <w:p w14:paraId="19648333" w14:textId="49676051"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Module availability for SH, CH or both</w:t>
            </w:r>
          </w:p>
        </w:tc>
        <w:tc>
          <w:tcPr>
            <w:tcW w:w="1260" w:type="dxa"/>
            <w:tcBorders>
              <w:top w:val="single" w:sz="4" w:space="0" w:color="auto"/>
              <w:left w:val="single" w:sz="4" w:space="0" w:color="auto"/>
              <w:bottom w:val="single" w:sz="4" w:space="0" w:color="auto"/>
              <w:right w:val="single" w:sz="4" w:space="0" w:color="auto"/>
            </w:tcBorders>
          </w:tcPr>
          <w:p w14:paraId="69236BE9" w14:textId="7BD444E8"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Number of credits</w:t>
            </w:r>
          </w:p>
        </w:tc>
        <w:tc>
          <w:tcPr>
            <w:tcW w:w="1264" w:type="dxa"/>
            <w:tcBorders>
              <w:top w:val="single" w:sz="4" w:space="0" w:color="auto"/>
              <w:left w:val="single" w:sz="4" w:space="0" w:color="auto"/>
              <w:bottom w:val="single" w:sz="4" w:space="0" w:color="auto"/>
              <w:right w:val="single" w:sz="4" w:space="0" w:color="auto"/>
            </w:tcBorders>
          </w:tcPr>
          <w:p w14:paraId="0EEFCAAD" w14:textId="17C739E0"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Pre- / co- requisites for this module</w:t>
            </w:r>
          </w:p>
        </w:tc>
        <w:tc>
          <w:tcPr>
            <w:tcW w:w="1093" w:type="dxa"/>
            <w:tcBorders>
              <w:top w:val="single" w:sz="4" w:space="0" w:color="auto"/>
              <w:left w:val="single" w:sz="4" w:space="0" w:color="auto"/>
              <w:bottom w:val="single" w:sz="4" w:space="0" w:color="auto"/>
              <w:right w:val="single" w:sz="4" w:space="0" w:color="auto"/>
            </w:tcBorders>
          </w:tcPr>
          <w:p w14:paraId="203EFA15" w14:textId="3DE645FC"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Module Leader</w:t>
            </w:r>
          </w:p>
        </w:tc>
        <w:tc>
          <w:tcPr>
            <w:tcW w:w="1490" w:type="dxa"/>
            <w:tcBorders>
              <w:top w:val="single" w:sz="4" w:space="0" w:color="auto"/>
              <w:left w:val="single" w:sz="4" w:space="0" w:color="auto"/>
              <w:bottom w:val="single" w:sz="4" w:space="0" w:color="auto"/>
              <w:right w:val="single" w:sz="4" w:space="0" w:color="auto"/>
            </w:tcBorders>
          </w:tcPr>
          <w:p w14:paraId="2B0CCA0D" w14:textId="77777777" w:rsidR="00255306" w:rsidRPr="00F621D4" w:rsidRDefault="00255306" w:rsidP="0011280A">
            <w:pPr>
              <w:tabs>
                <w:tab w:val="right" w:pos="7920"/>
              </w:tabs>
              <w:spacing w:line="240" w:lineRule="auto"/>
              <w:rPr>
                <w:rFonts w:ascii="Humnst777 BT" w:eastAsia="Humnst777 BT" w:hAnsi="Humnst777 BT" w:cs="Humnst777 BT"/>
                <w:b/>
              </w:rPr>
            </w:pPr>
            <w:r w:rsidRPr="00F621D4">
              <w:rPr>
                <w:rFonts w:ascii="Humnst777 BT" w:eastAsia="Humnst777 BT" w:hAnsi="Humnst777 BT" w:cs="Humnst777 BT"/>
                <w:b/>
              </w:rPr>
              <w:t>External Examiner</w:t>
            </w:r>
          </w:p>
        </w:tc>
      </w:tr>
      <w:tr w:rsidR="00255306" w:rsidRPr="00F621D4" w14:paraId="34B751DB" w14:textId="77777777" w:rsidTr="008D5BF1">
        <w:tc>
          <w:tcPr>
            <w:tcW w:w="646" w:type="dxa"/>
            <w:tcBorders>
              <w:top w:val="single" w:sz="4" w:space="0" w:color="auto"/>
              <w:left w:val="single" w:sz="4" w:space="0" w:color="auto"/>
              <w:bottom w:val="single" w:sz="4" w:space="0" w:color="auto"/>
              <w:right w:val="single" w:sz="4" w:space="0" w:color="auto"/>
            </w:tcBorders>
          </w:tcPr>
          <w:p w14:paraId="14D7A8EB" w14:textId="585142AA"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4</w:t>
            </w:r>
          </w:p>
        </w:tc>
        <w:tc>
          <w:tcPr>
            <w:tcW w:w="2048" w:type="dxa"/>
            <w:tcBorders>
              <w:top w:val="single" w:sz="4" w:space="0" w:color="auto"/>
              <w:left w:val="single" w:sz="4" w:space="0" w:color="auto"/>
              <w:bottom w:val="single" w:sz="4" w:space="0" w:color="auto"/>
              <w:right w:val="single" w:sz="4" w:space="0" w:color="auto"/>
            </w:tcBorders>
          </w:tcPr>
          <w:p w14:paraId="30780EDF" w14:textId="1CE6C0FF"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Crime and morality</w:t>
            </w:r>
          </w:p>
        </w:tc>
        <w:tc>
          <w:tcPr>
            <w:tcW w:w="1997" w:type="dxa"/>
            <w:tcBorders>
              <w:top w:val="single" w:sz="4" w:space="0" w:color="auto"/>
              <w:left w:val="single" w:sz="4" w:space="0" w:color="auto"/>
              <w:bottom w:val="single" w:sz="4" w:space="0" w:color="auto"/>
              <w:right w:val="single" w:sz="4" w:space="0" w:color="auto"/>
            </w:tcBorders>
          </w:tcPr>
          <w:p w14:paraId="08DF5024" w14:textId="66870070" w:rsidR="00255306" w:rsidRPr="00F621D4" w:rsidRDefault="008D5BF1"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 xml:space="preserve">BSc (Hons) </w:t>
            </w:r>
            <w:r w:rsidR="00255306" w:rsidRPr="00F621D4">
              <w:rPr>
                <w:rFonts w:ascii="Humnst777 BT" w:eastAsia="Humnst777 BT" w:hAnsi="Humnst777 BT" w:cs="Humnst777 BT"/>
                <w:color w:val="4472C4" w:themeColor="accent5"/>
              </w:rPr>
              <w:t>Criminal Justice</w:t>
            </w:r>
          </w:p>
        </w:tc>
        <w:tc>
          <w:tcPr>
            <w:tcW w:w="1259" w:type="dxa"/>
            <w:tcBorders>
              <w:top w:val="single" w:sz="4" w:space="0" w:color="auto"/>
              <w:left w:val="single" w:sz="4" w:space="0" w:color="auto"/>
              <w:bottom w:val="single" w:sz="4" w:space="0" w:color="auto"/>
              <w:right w:val="single" w:sz="4" w:space="0" w:color="auto"/>
            </w:tcBorders>
          </w:tcPr>
          <w:p w14:paraId="7A12215C" w14:textId="2D5B23E4"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Existing</w:t>
            </w:r>
          </w:p>
        </w:tc>
        <w:tc>
          <w:tcPr>
            <w:tcW w:w="1261" w:type="dxa"/>
            <w:tcBorders>
              <w:top w:val="single" w:sz="4" w:space="0" w:color="auto"/>
              <w:left w:val="single" w:sz="4" w:space="0" w:color="auto"/>
              <w:bottom w:val="single" w:sz="4" w:space="0" w:color="auto"/>
              <w:right w:val="single" w:sz="4" w:space="0" w:color="auto"/>
            </w:tcBorders>
          </w:tcPr>
          <w:p w14:paraId="010244DA" w14:textId="5676E4AA"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Core</w:t>
            </w:r>
          </w:p>
        </w:tc>
        <w:tc>
          <w:tcPr>
            <w:tcW w:w="1266" w:type="dxa"/>
            <w:tcBorders>
              <w:top w:val="single" w:sz="4" w:space="0" w:color="auto"/>
              <w:left w:val="single" w:sz="4" w:space="0" w:color="auto"/>
              <w:bottom w:val="single" w:sz="4" w:space="0" w:color="auto"/>
              <w:right w:val="single" w:sz="4" w:space="0" w:color="auto"/>
            </w:tcBorders>
          </w:tcPr>
          <w:p w14:paraId="5C899857" w14:textId="77777777"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p>
        </w:tc>
        <w:tc>
          <w:tcPr>
            <w:tcW w:w="1260" w:type="dxa"/>
            <w:tcBorders>
              <w:top w:val="single" w:sz="4" w:space="0" w:color="auto"/>
              <w:left w:val="single" w:sz="4" w:space="0" w:color="auto"/>
              <w:bottom w:val="single" w:sz="4" w:space="0" w:color="auto"/>
              <w:right w:val="single" w:sz="4" w:space="0" w:color="auto"/>
            </w:tcBorders>
          </w:tcPr>
          <w:p w14:paraId="2496ADAD" w14:textId="400A0C60"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20</w:t>
            </w:r>
          </w:p>
        </w:tc>
        <w:tc>
          <w:tcPr>
            <w:tcW w:w="1264" w:type="dxa"/>
            <w:tcBorders>
              <w:top w:val="single" w:sz="4" w:space="0" w:color="auto"/>
              <w:left w:val="single" w:sz="4" w:space="0" w:color="auto"/>
              <w:bottom w:val="single" w:sz="4" w:space="0" w:color="auto"/>
              <w:right w:val="single" w:sz="4" w:space="0" w:color="auto"/>
            </w:tcBorders>
          </w:tcPr>
          <w:p w14:paraId="43918503" w14:textId="09D16990"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None</w:t>
            </w:r>
          </w:p>
        </w:tc>
        <w:tc>
          <w:tcPr>
            <w:tcW w:w="1093" w:type="dxa"/>
            <w:tcBorders>
              <w:top w:val="single" w:sz="4" w:space="0" w:color="auto"/>
              <w:left w:val="single" w:sz="4" w:space="0" w:color="auto"/>
              <w:bottom w:val="single" w:sz="4" w:space="0" w:color="auto"/>
              <w:right w:val="single" w:sz="4" w:space="0" w:color="auto"/>
            </w:tcBorders>
          </w:tcPr>
          <w:p w14:paraId="40A8A2A6" w14:textId="445746C0"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Dr P Saw</w:t>
            </w:r>
          </w:p>
        </w:tc>
        <w:tc>
          <w:tcPr>
            <w:tcW w:w="1490" w:type="dxa"/>
            <w:tcBorders>
              <w:top w:val="single" w:sz="4" w:space="0" w:color="auto"/>
              <w:left w:val="single" w:sz="4" w:space="0" w:color="auto"/>
              <w:bottom w:val="single" w:sz="4" w:space="0" w:color="auto"/>
              <w:right w:val="single" w:sz="4" w:space="0" w:color="auto"/>
            </w:tcBorders>
          </w:tcPr>
          <w:p w14:paraId="20749CFD" w14:textId="0B9DDDCD"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Dr T Chance</w:t>
            </w:r>
          </w:p>
        </w:tc>
      </w:tr>
      <w:tr w:rsidR="00255306" w:rsidRPr="00F621D4" w14:paraId="492C0453" w14:textId="77777777" w:rsidTr="008D5BF1">
        <w:tc>
          <w:tcPr>
            <w:tcW w:w="646" w:type="dxa"/>
            <w:tcBorders>
              <w:top w:val="single" w:sz="4" w:space="0" w:color="auto"/>
              <w:left w:val="single" w:sz="4" w:space="0" w:color="auto"/>
              <w:bottom w:val="single" w:sz="4" w:space="0" w:color="auto"/>
              <w:right w:val="single" w:sz="4" w:space="0" w:color="auto"/>
            </w:tcBorders>
          </w:tcPr>
          <w:p w14:paraId="77CBFE05" w14:textId="4252C788"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5</w:t>
            </w:r>
          </w:p>
        </w:tc>
        <w:tc>
          <w:tcPr>
            <w:tcW w:w="2048" w:type="dxa"/>
            <w:tcBorders>
              <w:top w:val="single" w:sz="4" w:space="0" w:color="auto"/>
              <w:left w:val="single" w:sz="4" w:space="0" w:color="auto"/>
              <w:bottom w:val="single" w:sz="4" w:space="0" w:color="auto"/>
              <w:right w:val="single" w:sz="4" w:space="0" w:color="auto"/>
            </w:tcBorders>
          </w:tcPr>
          <w:p w14:paraId="67DD003F" w14:textId="41E45A65"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Dimensions of Crime</w:t>
            </w:r>
          </w:p>
        </w:tc>
        <w:tc>
          <w:tcPr>
            <w:tcW w:w="1997" w:type="dxa"/>
            <w:tcBorders>
              <w:top w:val="single" w:sz="4" w:space="0" w:color="auto"/>
              <w:left w:val="single" w:sz="4" w:space="0" w:color="auto"/>
              <w:bottom w:val="single" w:sz="4" w:space="0" w:color="auto"/>
              <w:right w:val="single" w:sz="4" w:space="0" w:color="auto"/>
            </w:tcBorders>
          </w:tcPr>
          <w:p w14:paraId="245F6999" w14:textId="5814E8AA" w:rsidR="00255306" w:rsidRPr="00F621D4" w:rsidRDefault="008D5BF1" w:rsidP="008D5BF1">
            <w:pPr>
              <w:tabs>
                <w:tab w:val="right" w:pos="7920"/>
              </w:tabs>
              <w:spacing w:line="240" w:lineRule="auto"/>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 xml:space="preserve">BSc (Hons) </w:t>
            </w:r>
            <w:r w:rsidR="00255306" w:rsidRPr="00F621D4">
              <w:rPr>
                <w:rFonts w:ascii="Humnst777 BT" w:eastAsia="Humnst777 BT" w:hAnsi="Humnst777 BT" w:cs="Humnst777 BT"/>
                <w:color w:val="4472C4" w:themeColor="accent5"/>
              </w:rPr>
              <w:t>Criminology</w:t>
            </w:r>
          </w:p>
        </w:tc>
        <w:tc>
          <w:tcPr>
            <w:tcW w:w="1259" w:type="dxa"/>
            <w:tcBorders>
              <w:top w:val="single" w:sz="4" w:space="0" w:color="auto"/>
              <w:left w:val="single" w:sz="4" w:space="0" w:color="auto"/>
              <w:bottom w:val="single" w:sz="4" w:space="0" w:color="auto"/>
              <w:right w:val="single" w:sz="4" w:space="0" w:color="auto"/>
            </w:tcBorders>
          </w:tcPr>
          <w:p w14:paraId="7B62DDF5" w14:textId="00D2C4BD"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New</w:t>
            </w:r>
          </w:p>
        </w:tc>
        <w:tc>
          <w:tcPr>
            <w:tcW w:w="1261" w:type="dxa"/>
            <w:tcBorders>
              <w:top w:val="single" w:sz="4" w:space="0" w:color="auto"/>
              <w:left w:val="single" w:sz="4" w:space="0" w:color="auto"/>
              <w:bottom w:val="single" w:sz="4" w:space="0" w:color="auto"/>
              <w:right w:val="single" w:sz="4" w:space="0" w:color="auto"/>
            </w:tcBorders>
          </w:tcPr>
          <w:p w14:paraId="6677C5D9" w14:textId="03B60FA8"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Optional</w:t>
            </w:r>
          </w:p>
        </w:tc>
        <w:tc>
          <w:tcPr>
            <w:tcW w:w="1266" w:type="dxa"/>
            <w:tcBorders>
              <w:top w:val="single" w:sz="4" w:space="0" w:color="auto"/>
              <w:left w:val="single" w:sz="4" w:space="0" w:color="auto"/>
              <w:bottom w:val="single" w:sz="4" w:space="0" w:color="auto"/>
              <w:right w:val="single" w:sz="4" w:space="0" w:color="auto"/>
            </w:tcBorders>
          </w:tcPr>
          <w:p w14:paraId="6FC57E1A" w14:textId="77777777"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p>
        </w:tc>
        <w:tc>
          <w:tcPr>
            <w:tcW w:w="1260" w:type="dxa"/>
            <w:tcBorders>
              <w:top w:val="single" w:sz="4" w:space="0" w:color="auto"/>
              <w:left w:val="single" w:sz="4" w:space="0" w:color="auto"/>
              <w:bottom w:val="single" w:sz="4" w:space="0" w:color="auto"/>
              <w:right w:val="single" w:sz="4" w:space="0" w:color="auto"/>
            </w:tcBorders>
          </w:tcPr>
          <w:p w14:paraId="1AE9F5DE" w14:textId="25A616CD"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20</w:t>
            </w:r>
          </w:p>
        </w:tc>
        <w:tc>
          <w:tcPr>
            <w:tcW w:w="1264" w:type="dxa"/>
            <w:tcBorders>
              <w:top w:val="single" w:sz="4" w:space="0" w:color="auto"/>
              <w:left w:val="single" w:sz="4" w:space="0" w:color="auto"/>
              <w:bottom w:val="single" w:sz="4" w:space="0" w:color="auto"/>
              <w:right w:val="single" w:sz="4" w:space="0" w:color="auto"/>
            </w:tcBorders>
          </w:tcPr>
          <w:p w14:paraId="1C8A14DA" w14:textId="20807F9B"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None</w:t>
            </w:r>
          </w:p>
        </w:tc>
        <w:tc>
          <w:tcPr>
            <w:tcW w:w="1093" w:type="dxa"/>
            <w:tcBorders>
              <w:top w:val="single" w:sz="4" w:space="0" w:color="auto"/>
              <w:left w:val="single" w:sz="4" w:space="0" w:color="auto"/>
              <w:bottom w:val="single" w:sz="4" w:space="0" w:color="auto"/>
              <w:right w:val="single" w:sz="4" w:space="0" w:color="auto"/>
            </w:tcBorders>
          </w:tcPr>
          <w:p w14:paraId="784EA271" w14:textId="0098C0F8"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Dr P Saw</w:t>
            </w:r>
          </w:p>
        </w:tc>
        <w:tc>
          <w:tcPr>
            <w:tcW w:w="1490" w:type="dxa"/>
            <w:tcBorders>
              <w:top w:val="single" w:sz="4" w:space="0" w:color="auto"/>
              <w:left w:val="single" w:sz="4" w:space="0" w:color="auto"/>
              <w:bottom w:val="single" w:sz="4" w:space="0" w:color="auto"/>
              <w:right w:val="single" w:sz="4" w:space="0" w:color="auto"/>
            </w:tcBorders>
          </w:tcPr>
          <w:p w14:paraId="7BBAD28A" w14:textId="0ABDC9E2" w:rsidR="00255306" w:rsidRPr="00F621D4" w:rsidRDefault="00255306" w:rsidP="0011280A">
            <w:pPr>
              <w:tabs>
                <w:tab w:val="right" w:pos="7920"/>
              </w:tabs>
              <w:spacing w:line="240" w:lineRule="auto"/>
              <w:jc w:val="both"/>
              <w:rPr>
                <w:rFonts w:ascii="Humnst777 BT" w:eastAsia="Humnst777 BT" w:hAnsi="Humnst777 BT" w:cs="Humnst777 BT"/>
                <w:color w:val="4472C4" w:themeColor="accent5"/>
              </w:rPr>
            </w:pPr>
            <w:r w:rsidRPr="00F621D4">
              <w:rPr>
                <w:rFonts w:ascii="Humnst777 BT" w:eastAsia="Humnst777 BT" w:hAnsi="Humnst777 BT" w:cs="Humnst777 BT"/>
                <w:color w:val="4472C4" w:themeColor="accent5"/>
              </w:rPr>
              <w:t>TBC</w:t>
            </w:r>
          </w:p>
        </w:tc>
      </w:tr>
      <w:tr w:rsidR="00255306" w:rsidRPr="00F621D4" w14:paraId="1B44A8BD" w14:textId="77777777" w:rsidTr="008D5BF1">
        <w:tc>
          <w:tcPr>
            <w:tcW w:w="646" w:type="dxa"/>
            <w:tcBorders>
              <w:top w:val="single" w:sz="4" w:space="0" w:color="auto"/>
              <w:left w:val="single" w:sz="4" w:space="0" w:color="auto"/>
              <w:bottom w:val="single" w:sz="4" w:space="0" w:color="auto"/>
              <w:right w:val="single" w:sz="4" w:space="0" w:color="auto"/>
            </w:tcBorders>
          </w:tcPr>
          <w:p w14:paraId="38AEB84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21E114C7"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52E6CF9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7BB79226"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17714D3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0257685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4C6EAD05" w14:textId="06839E2A"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4CF08457"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4211CA2F"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3F8638F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4269627F" w14:textId="77777777" w:rsidTr="008D5BF1">
        <w:tc>
          <w:tcPr>
            <w:tcW w:w="646" w:type="dxa"/>
            <w:tcBorders>
              <w:top w:val="single" w:sz="4" w:space="0" w:color="auto"/>
              <w:left w:val="single" w:sz="4" w:space="0" w:color="auto"/>
              <w:bottom w:val="single" w:sz="4" w:space="0" w:color="auto"/>
              <w:right w:val="single" w:sz="4" w:space="0" w:color="auto"/>
            </w:tcBorders>
          </w:tcPr>
          <w:p w14:paraId="340A0CF0"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009F287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74DFDF1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4B7ED70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0B9F5B17"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33494B3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5C0C83E8" w14:textId="6E4A4BC2"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672D3CF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4D898A5B"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308D93BC"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263AFB42" w14:textId="77777777" w:rsidTr="008D5BF1">
        <w:tc>
          <w:tcPr>
            <w:tcW w:w="646" w:type="dxa"/>
            <w:tcBorders>
              <w:top w:val="single" w:sz="4" w:space="0" w:color="auto"/>
              <w:left w:val="single" w:sz="4" w:space="0" w:color="auto"/>
              <w:bottom w:val="single" w:sz="4" w:space="0" w:color="auto"/>
              <w:right w:val="single" w:sz="4" w:space="0" w:color="auto"/>
            </w:tcBorders>
          </w:tcPr>
          <w:p w14:paraId="5FF47BC0"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413C57E1"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4304387E"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13F806E1"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7EE7374B"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0A500A3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2D2C95B2" w14:textId="1DD83403"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22778AB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5F120332"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5111782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7A848045" w14:textId="77777777" w:rsidTr="008D5BF1">
        <w:tc>
          <w:tcPr>
            <w:tcW w:w="646" w:type="dxa"/>
            <w:tcBorders>
              <w:top w:val="single" w:sz="4" w:space="0" w:color="auto"/>
              <w:left w:val="single" w:sz="4" w:space="0" w:color="auto"/>
              <w:bottom w:val="single" w:sz="4" w:space="0" w:color="auto"/>
              <w:right w:val="single" w:sz="4" w:space="0" w:color="auto"/>
            </w:tcBorders>
          </w:tcPr>
          <w:p w14:paraId="3FC5E85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266E675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747FF887"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6C6E5784"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691188B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1648D445"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6020422F" w14:textId="3BA3CEFF"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5098002E"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724BCF42"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615AFC0E"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33F58D2D" w14:textId="77777777" w:rsidTr="008D5BF1">
        <w:tc>
          <w:tcPr>
            <w:tcW w:w="646" w:type="dxa"/>
            <w:tcBorders>
              <w:top w:val="single" w:sz="4" w:space="0" w:color="auto"/>
              <w:left w:val="single" w:sz="4" w:space="0" w:color="auto"/>
              <w:bottom w:val="single" w:sz="4" w:space="0" w:color="auto"/>
              <w:right w:val="single" w:sz="4" w:space="0" w:color="auto"/>
            </w:tcBorders>
          </w:tcPr>
          <w:p w14:paraId="4839D971"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6E579FF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32A181E1"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79006DF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4687609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5169113B"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2087F679" w14:textId="0304276C"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1B07541B"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0332429D"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3A323A5B"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59FCA022" w14:textId="77777777" w:rsidTr="008D5BF1">
        <w:tc>
          <w:tcPr>
            <w:tcW w:w="646" w:type="dxa"/>
            <w:tcBorders>
              <w:top w:val="single" w:sz="4" w:space="0" w:color="auto"/>
              <w:left w:val="single" w:sz="4" w:space="0" w:color="auto"/>
              <w:bottom w:val="single" w:sz="4" w:space="0" w:color="auto"/>
              <w:right w:val="single" w:sz="4" w:space="0" w:color="auto"/>
            </w:tcBorders>
          </w:tcPr>
          <w:p w14:paraId="6E35D934"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22DA824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33C47DF0"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1420371B"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25556C4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582736A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32EED542" w14:textId="46C6EAB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0F7825A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0F489DD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6FDBB00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3E51D021" w14:textId="77777777" w:rsidTr="008D5BF1">
        <w:tc>
          <w:tcPr>
            <w:tcW w:w="646" w:type="dxa"/>
            <w:tcBorders>
              <w:top w:val="single" w:sz="4" w:space="0" w:color="auto"/>
              <w:left w:val="single" w:sz="4" w:space="0" w:color="auto"/>
              <w:bottom w:val="single" w:sz="4" w:space="0" w:color="auto"/>
              <w:right w:val="single" w:sz="4" w:space="0" w:color="auto"/>
            </w:tcBorders>
          </w:tcPr>
          <w:p w14:paraId="4B981CFB"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259CA0D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04D3929B"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43ABFBC1"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71A250E8"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7355410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37E604D7" w14:textId="7367E1FB"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0E546AE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5795B54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25580F5B"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5680FED0" w14:textId="77777777" w:rsidTr="008D5BF1">
        <w:tc>
          <w:tcPr>
            <w:tcW w:w="646" w:type="dxa"/>
            <w:tcBorders>
              <w:top w:val="single" w:sz="4" w:space="0" w:color="auto"/>
              <w:left w:val="single" w:sz="4" w:space="0" w:color="auto"/>
              <w:bottom w:val="single" w:sz="4" w:space="0" w:color="auto"/>
              <w:right w:val="single" w:sz="4" w:space="0" w:color="auto"/>
            </w:tcBorders>
          </w:tcPr>
          <w:p w14:paraId="63AA530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184154D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1D5FC51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7E19FF03"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4F7FD150"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2D7BAC8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4659249A" w14:textId="28ADC56D"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64DE145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36C02D9F"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05A2ED94"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4B835E27" w14:textId="77777777" w:rsidTr="008D5BF1">
        <w:tc>
          <w:tcPr>
            <w:tcW w:w="646" w:type="dxa"/>
            <w:tcBorders>
              <w:top w:val="single" w:sz="4" w:space="0" w:color="auto"/>
              <w:left w:val="single" w:sz="4" w:space="0" w:color="auto"/>
              <w:bottom w:val="single" w:sz="4" w:space="0" w:color="auto"/>
              <w:right w:val="single" w:sz="4" w:space="0" w:color="auto"/>
            </w:tcBorders>
          </w:tcPr>
          <w:p w14:paraId="2DBC464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2AE208E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3C7BAB2E"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6F62DED2"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5D53278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17774DE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3F0B19B2" w14:textId="7C95BCC2"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27E5A1C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2F7CEAAC"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6643A0F9"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52AE398D" w14:textId="77777777" w:rsidTr="008D5BF1">
        <w:tc>
          <w:tcPr>
            <w:tcW w:w="646" w:type="dxa"/>
            <w:tcBorders>
              <w:top w:val="single" w:sz="4" w:space="0" w:color="auto"/>
              <w:left w:val="single" w:sz="4" w:space="0" w:color="auto"/>
              <w:bottom w:val="single" w:sz="4" w:space="0" w:color="auto"/>
              <w:right w:val="single" w:sz="4" w:space="0" w:color="auto"/>
            </w:tcBorders>
          </w:tcPr>
          <w:p w14:paraId="09BFD50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1F5B9B93"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186C14D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05677B88"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45F47784"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6FAC91D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6DFACF91" w14:textId="56F427ED"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49F9F299"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14DCBA6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72E83E62"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4D095646" w14:textId="77777777" w:rsidTr="008D5BF1">
        <w:tc>
          <w:tcPr>
            <w:tcW w:w="646" w:type="dxa"/>
            <w:tcBorders>
              <w:top w:val="single" w:sz="4" w:space="0" w:color="auto"/>
              <w:left w:val="single" w:sz="4" w:space="0" w:color="auto"/>
              <w:bottom w:val="single" w:sz="4" w:space="0" w:color="auto"/>
              <w:right w:val="single" w:sz="4" w:space="0" w:color="auto"/>
            </w:tcBorders>
          </w:tcPr>
          <w:p w14:paraId="00E2AB1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12CB700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21954CA8"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77AA8A07"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01F14FD1"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03307A61"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647E318E" w14:textId="4A644178"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583FF25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2840168C"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3DADBBC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2106D5F6" w14:textId="77777777" w:rsidTr="008D5BF1">
        <w:tc>
          <w:tcPr>
            <w:tcW w:w="646" w:type="dxa"/>
            <w:tcBorders>
              <w:top w:val="single" w:sz="4" w:space="0" w:color="auto"/>
              <w:left w:val="single" w:sz="4" w:space="0" w:color="auto"/>
              <w:bottom w:val="single" w:sz="4" w:space="0" w:color="auto"/>
              <w:right w:val="single" w:sz="4" w:space="0" w:color="auto"/>
            </w:tcBorders>
          </w:tcPr>
          <w:p w14:paraId="7A3F8FDF"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737F530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76A1E91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3C773F2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20042BB8"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50533170"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45BF1030" w14:textId="75D39049"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4DDCEAC9"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2F2809B2"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2E08C1FD"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30890DF8" w14:textId="77777777" w:rsidTr="008D5BF1">
        <w:tc>
          <w:tcPr>
            <w:tcW w:w="646" w:type="dxa"/>
            <w:tcBorders>
              <w:top w:val="single" w:sz="4" w:space="0" w:color="auto"/>
              <w:left w:val="single" w:sz="4" w:space="0" w:color="auto"/>
              <w:bottom w:val="single" w:sz="4" w:space="0" w:color="auto"/>
              <w:right w:val="single" w:sz="4" w:space="0" w:color="auto"/>
            </w:tcBorders>
          </w:tcPr>
          <w:p w14:paraId="1E4B0A0C"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3FCD335E"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3E388227"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18E5E651"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3F76A8B6"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685809B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46C1643A" w14:textId="229C7C44"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042EE4C2"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160A983B"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2F7EDA4A"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r w:rsidR="00255306" w:rsidRPr="00F621D4" w14:paraId="3A90E178" w14:textId="77777777" w:rsidTr="008D5BF1">
        <w:tc>
          <w:tcPr>
            <w:tcW w:w="646" w:type="dxa"/>
            <w:tcBorders>
              <w:top w:val="single" w:sz="4" w:space="0" w:color="auto"/>
              <w:left w:val="single" w:sz="4" w:space="0" w:color="auto"/>
              <w:bottom w:val="single" w:sz="4" w:space="0" w:color="auto"/>
              <w:right w:val="single" w:sz="4" w:space="0" w:color="auto"/>
            </w:tcBorders>
          </w:tcPr>
          <w:p w14:paraId="14E9A8B5"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2048" w:type="dxa"/>
            <w:tcBorders>
              <w:top w:val="single" w:sz="4" w:space="0" w:color="auto"/>
              <w:left w:val="single" w:sz="4" w:space="0" w:color="auto"/>
              <w:bottom w:val="single" w:sz="4" w:space="0" w:color="auto"/>
              <w:right w:val="single" w:sz="4" w:space="0" w:color="auto"/>
            </w:tcBorders>
          </w:tcPr>
          <w:p w14:paraId="62F9D16A"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997" w:type="dxa"/>
            <w:tcBorders>
              <w:top w:val="single" w:sz="4" w:space="0" w:color="auto"/>
              <w:left w:val="single" w:sz="4" w:space="0" w:color="auto"/>
              <w:bottom w:val="single" w:sz="4" w:space="0" w:color="auto"/>
              <w:right w:val="single" w:sz="4" w:space="0" w:color="auto"/>
            </w:tcBorders>
          </w:tcPr>
          <w:p w14:paraId="24E3A90D"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59" w:type="dxa"/>
            <w:tcBorders>
              <w:top w:val="single" w:sz="4" w:space="0" w:color="auto"/>
              <w:left w:val="single" w:sz="4" w:space="0" w:color="auto"/>
              <w:bottom w:val="single" w:sz="4" w:space="0" w:color="auto"/>
              <w:right w:val="single" w:sz="4" w:space="0" w:color="auto"/>
            </w:tcBorders>
          </w:tcPr>
          <w:p w14:paraId="4CD90D85"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261" w:type="dxa"/>
            <w:tcBorders>
              <w:top w:val="single" w:sz="4" w:space="0" w:color="auto"/>
              <w:left w:val="single" w:sz="4" w:space="0" w:color="auto"/>
              <w:bottom w:val="single" w:sz="4" w:space="0" w:color="auto"/>
              <w:right w:val="single" w:sz="4" w:space="0" w:color="auto"/>
            </w:tcBorders>
          </w:tcPr>
          <w:p w14:paraId="32D5DC15"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6" w:type="dxa"/>
            <w:tcBorders>
              <w:top w:val="single" w:sz="4" w:space="0" w:color="auto"/>
              <w:left w:val="single" w:sz="4" w:space="0" w:color="auto"/>
              <w:bottom w:val="single" w:sz="4" w:space="0" w:color="auto"/>
              <w:right w:val="single" w:sz="4" w:space="0" w:color="auto"/>
            </w:tcBorders>
          </w:tcPr>
          <w:p w14:paraId="2B4F23B5"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0" w:type="dxa"/>
            <w:tcBorders>
              <w:top w:val="single" w:sz="4" w:space="0" w:color="auto"/>
              <w:left w:val="single" w:sz="4" w:space="0" w:color="auto"/>
              <w:bottom w:val="single" w:sz="4" w:space="0" w:color="auto"/>
              <w:right w:val="single" w:sz="4" w:space="0" w:color="auto"/>
            </w:tcBorders>
          </w:tcPr>
          <w:p w14:paraId="3DE89131" w14:textId="147A1A49"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264" w:type="dxa"/>
            <w:tcBorders>
              <w:top w:val="single" w:sz="4" w:space="0" w:color="auto"/>
              <w:left w:val="single" w:sz="4" w:space="0" w:color="auto"/>
              <w:bottom w:val="single" w:sz="4" w:space="0" w:color="auto"/>
              <w:right w:val="single" w:sz="4" w:space="0" w:color="auto"/>
            </w:tcBorders>
          </w:tcPr>
          <w:p w14:paraId="1E16D188" w14:textId="77777777" w:rsidR="00255306" w:rsidRPr="00F621D4" w:rsidRDefault="00255306" w:rsidP="0011280A">
            <w:pPr>
              <w:tabs>
                <w:tab w:val="right" w:pos="7920"/>
              </w:tabs>
              <w:spacing w:line="240" w:lineRule="auto"/>
              <w:jc w:val="both"/>
              <w:rPr>
                <w:rFonts w:ascii="Humnst777 BT" w:eastAsia="Humnst777 BT" w:hAnsi="Humnst777 BT" w:cs="Humnst777 BT"/>
              </w:rPr>
            </w:pPr>
          </w:p>
        </w:tc>
        <w:tc>
          <w:tcPr>
            <w:tcW w:w="1093" w:type="dxa"/>
            <w:tcBorders>
              <w:top w:val="single" w:sz="4" w:space="0" w:color="auto"/>
              <w:left w:val="single" w:sz="4" w:space="0" w:color="auto"/>
              <w:bottom w:val="single" w:sz="4" w:space="0" w:color="auto"/>
              <w:right w:val="single" w:sz="4" w:space="0" w:color="auto"/>
            </w:tcBorders>
          </w:tcPr>
          <w:p w14:paraId="6C7101E1"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c>
          <w:tcPr>
            <w:tcW w:w="1490" w:type="dxa"/>
            <w:tcBorders>
              <w:top w:val="single" w:sz="4" w:space="0" w:color="auto"/>
              <w:left w:val="single" w:sz="4" w:space="0" w:color="auto"/>
              <w:bottom w:val="single" w:sz="4" w:space="0" w:color="auto"/>
              <w:right w:val="single" w:sz="4" w:space="0" w:color="auto"/>
            </w:tcBorders>
          </w:tcPr>
          <w:p w14:paraId="46620CC6" w14:textId="77777777" w:rsidR="00255306" w:rsidRPr="00F621D4" w:rsidRDefault="00255306" w:rsidP="0011280A">
            <w:pPr>
              <w:tabs>
                <w:tab w:val="right" w:pos="7920"/>
              </w:tabs>
              <w:spacing w:line="240" w:lineRule="auto"/>
              <w:jc w:val="both"/>
              <w:rPr>
                <w:rFonts w:ascii="Humnst777 BT" w:eastAsia="Humnst777 BT" w:hAnsi="Humnst777 BT" w:cs="Humnst777 BT"/>
                <w:highlight w:val="green"/>
              </w:rPr>
            </w:pPr>
          </w:p>
        </w:tc>
      </w:tr>
    </w:tbl>
    <w:p w14:paraId="6739AC8C" w14:textId="77777777" w:rsidR="00FA0BF6" w:rsidRPr="00F621D4" w:rsidRDefault="00FA0BF6" w:rsidP="00474499">
      <w:pPr>
        <w:ind w:left="-851"/>
        <w:rPr>
          <w:b/>
          <w:sz w:val="20"/>
          <w:szCs w:val="20"/>
        </w:rPr>
        <w:sectPr w:rsidR="00FA0BF6" w:rsidRPr="00F621D4" w:rsidSect="00FA0BF6">
          <w:pgSz w:w="16838" w:h="11906" w:orient="landscape"/>
          <w:pgMar w:top="1440" w:right="709" w:bottom="1440" w:left="1440" w:header="709" w:footer="709" w:gutter="0"/>
          <w:cols w:space="708"/>
          <w:docGrid w:linePitch="360"/>
        </w:sectPr>
      </w:pPr>
    </w:p>
    <w:p w14:paraId="632694C1" w14:textId="7711215C" w:rsidR="00035B91" w:rsidRPr="00F621D4" w:rsidRDefault="00035B91" w:rsidP="00474499">
      <w:pPr>
        <w:ind w:left="-851"/>
        <w:rPr>
          <w:b/>
          <w:sz w:val="20"/>
          <w:szCs w:val="20"/>
        </w:rPr>
      </w:pPr>
    </w:p>
    <w:p w14:paraId="5A2599FC" w14:textId="77777777" w:rsidR="00035B91" w:rsidRPr="00F621D4" w:rsidRDefault="00035B91">
      <w:pPr>
        <w:rPr>
          <w:b/>
          <w:sz w:val="20"/>
          <w:szCs w:val="20"/>
        </w:rPr>
      </w:pPr>
    </w:p>
    <w:p w14:paraId="6F914BA2" w14:textId="77777777" w:rsidR="00035B91" w:rsidRPr="00F621D4" w:rsidRDefault="00035B91" w:rsidP="00035B91">
      <w:pPr>
        <w:ind w:left="-1080" w:firstLine="1080"/>
        <w:jc w:val="both"/>
        <w:rPr>
          <w:rFonts w:ascii="Humnst777 BT" w:eastAsia="Humnst777 BT" w:hAnsi="Humnst777 BT" w:cs="Humnst777 BT"/>
          <w:sz w:val="20"/>
          <w:szCs w:val="20"/>
        </w:rPr>
      </w:pPr>
      <w:r w:rsidRPr="00F621D4">
        <w:rPr>
          <w:rFonts w:ascii="Humnst777 BT" w:eastAsia="Humnst777 BT" w:hAnsi="Humnst777 BT" w:cs="Humnst777 BT"/>
          <w:b/>
          <w:sz w:val="20"/>
          <w:szCs w:val="20"/>
        </w:rPr>
        <w:t>Appendices</w:t>
      </w:r>
      <w:r w:rsidRPr="00F621D4">
        <w:rPr>
          <w:rFonts w:ascii="Humnst777 BT" w:eastAsia="Humnst777 BT" w:hAnsi="Humnst777 BT" w:cs="Humnst777 BT"/>
          <w:sz w:val="20"/>
          <w:szCs w:val="20"/>
        </w:rPr>
        <w:t xml:space="preserve"> </w:t>
      </w:r>
    </w:p>
    <w:p w14:paraId="340F860E" w14:textId="77777777" w:rsidR="00035B91" w:rsidRPr="00F621D4" w:rsidRDefault="00035B91" w:rsidP="00035B91">
      <w:pPr>
        <w:ind w:left="-1080" w:firstLine="1080"/>
        <w:jc w:val="both"/>
        <w:rPr>
          <w:rFonts w:ascii="Humnst777 BT" w:eastAsia="Humnst777 BT" w:hAnsi="Humnst777 BT" w:cs="Humnst777 BT"/>
          <w:sz w:val="20"/>
          <w:szCs w:val="20"/>
        </w:rPr>
      </w:pPr>
      <w:r w:rsidRPr="00F621D4">
        <w:rPr>
          <w:rFonts w:ascii="Humnst777 BT" w:eastAsia="Humnst777 BT" w:hAnsi="Humnst777 BT" w:cs="Humnst777 BT"/>
          <w:sz w:val="20"/>
          <w:szCs w:val="20"/>
        </w:rPr>
        <w:t>There MUST be appendices for each of the following:</w:t>
      </w:r>
    </w:p>
    <w:p w14:paraId="529698D5" w14:textId="4A9369AD" w:rsidR="00035B91" w:rsidRPr="00F621D4" w:rsidRDefault="00035B91" w:rsidP="00035B91">
      <w:pPr>
        <w:pStyle w:val="ListParagraph"/>
        <w:numPr>
          <w:ilvl w:val="0"/>
          <w:numId w:val="5"/>
        </w:numPr>
        <w:autoSpaceDE w:val="0"/>
        <w:autoSpaceDN w:val="0"/>
        <w:adjustRightInd w:val="0"/>
        <w:spacing w:after="0" w:line="240" w:lineRule="auto"/>
        <w:jc w:val="both"/>
        <w:rPr>
          <w:rFonts w:ascii="Humnst777 BT" w:eastAsia="Humnst777 BT" w:hAnsi="Humnst777 BT" w:cs="Humnst777 BT"/>
          <w:sz w:val="20"/>
          <w:szCs w:val="20"/>
        </w:rPr>
      </w:pPr>
      <w:bookmarkStart w:id="1" w:name="_Hlk33771480"/>
      <w:r w:rsidRPr="00F621D4">
        <w:rPr>
          <w:rFonts w:ascii="Humnst777 BT" w:eastAsia="Humnst777 BT" w:hAnsi="Humnst777 BT" w:cs="Humnst777 BT"/>
          <w:sz w:val="20"/>
          <w:szCs w:val="20"/>
        </w:rPr>
        <w:t>Details of any proposed or agreed variations from the Regulation</w:t>
      </w:r>
      <w:r w:rsidR="0019529A" w:rsidRPr="00F621D4">
        <w:rPr>
          <w:rFonts w:ascii="Humnst777 BT" w:eastAsia="Humnst777 BT" w:hAnsi="Humnst777 BT" w:cs="Humnst777 BT"/>
          <w:sz w:val="20"/>
          <w:szCs w:val="20"/>
        </w:rPr>
        <w:t>s for Taught Awards and the General Regulations for the Conferment of Awards</w:t>
      </w:r>
      <w:r w:rsidRPr="00F621D4">
        <w:rPr>
          <w:rFonts w:ascii="Humnst777 BT" w:eastAsia="Humnst777 BT" w:hAnsi="Humnst777 BT" w:cs="Humnst777 BT"/>
          <w:sz w:val="20"/>
          <w:szCs w:val="20"/>
        </w:rPr>
        <w:t xml:space="preserve"> or Scheme, or from specified Policies and procedures related to the conduct of examinations</w:t>
      </w:r>
    </w:p>
    <w:bookmarkEnd w:id="1"/>
    <w:p w14:paraId="64073A6A" w14:textId="77777777" w:rsidR="008D5BF1" w:rsidRPr="00F621D4" w:rsidRDefault="008D5BF1" w:rsidP="008D5BF1">
      <w:pPr>
        <w:autoSpaceDE w:val="0"/>
        <w:autoSpaceDN w:val="0"/>
        <w:adjustRightInd w:val="0"/>
        <w:spacing w:after="0" w:line="240" w:lineRule="auto"/>
        <w:jc w:val="both"/>
        <w:rPr>
          <w:rFonts w:ascii="Humnst777 BT" w:eastAsia="Humnst777 BT" w:hAnsi="Humnst777 BT" w:cs="Humnst777 BT"/>
          <w:sz w:val="20"/>
          <w:szCs w:val="20"/>
        </w:rPr>
      </w:pPr>
    </w:p>
    <w:p w14:paraId="4F0BFEE7" w14:textId="77777777" w:rsidR="004D739A" w:rsidRPr="00F621D4" w:rsidRDefault="004D739A" w:rsidP="004D739A">
      <w:pPr>
        <w:pStyle w:val="ListParagraph"/>
        <w:numPr>
          <w:ilvl w:val="0"/>
          <w:numId w:val="5"/>
        </w:numPr>
        <w:autoSpaceDE w:val="0"/>
        <w:autoSpaceDN w:val="0"/>
        <w:adjustRightInd w:val="0"/>
        <w:spacing w:after="0" w:line="240" w:lineRule="auto"/>
        <w:jc w:val="both"/>
        <w:rPr>
          <w:rFonts w:ascii="Humnst777 BT" w:eastAsia="Humnst777 BT" w:hAnsi="Humnst777 BT" w:cs="Humnst777 BT"/>
          <w:sz w:val="20"/>
          <w:szCs w:val="20"/>
        </w:rPr>
      </w:pPr>
      <w:r w:rsidRPr="00F621D4">
        <w:rPr>
          <w:rFonts w:ascii="Humnst777 BT" w:eastAsia="Humnst777 BT" w:hAnsi="Humnst777 BT" w:cs="Humnst777 BT"/>
          <w:sz w:val="20"/>
          <w:szCs w:val="20"/>
        </w:rPr>
        <w:t>Assessment criteria where the proposed assessment criteria differ from the Generic Assessment Criteria for Courses</w:t>
      </w:r>
    </w:p>
    <w:p w14:paraId="7BFCB267" w14:textId="77777777" w:rsidR="00C91721" w:rsidRPr="00F621D4" w:rsidRDefault="00C91721" w:rsidP="00C91721">
      <w:pPr>
        <w:pStyle w:val="ListParagraph"/>
        <w:autoSpaceDE w:val="0"/>
        <w:autoSpaceDN w:val="0"/>
        <w:adjustRightInd w:val="0"/>
        <w:spacing w:after="0" w:line="240" w:lineRule="auto"/>
        <w:ind w:left="1080"/>
        <w:jc w:val="both"/>
        <w:rPr>
          <w:rFonts w:ascii="Humnst777 BT" w:eastAsia="Humnst777 BT" w:hAnsi="Humnst777 BT" w:cs="Humnst777 BT"/>
          <w:sz w:val="20"/>
          <w:szCs w:val="20"/>
        </w:rPr>
      </w:pPr>
    </w:p>
    <w:p w14:paraId="2C811D36" w14:textId="77777777" w:rsidR="00035B91" w:rsidRPr="00F621D4" w:rsidRDefault="00035B91">
      <w:pPr>
        <w:rPr>
          <w:b/>
          <w:sz w:val="20"/>
          <w:szCs w:val="20"/>
        </w:rPr>
      </w:pPr>
    </w:p>
    <w:sectPr w:rsidR="00035B91" w:rsidRPr="00F621D4" w:rsidSect="0047449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AECA" w14:textId="77777777" w:rsidR="0047715B" w:rsidRDefault="0047715B" w:rsidP="00AD1749">
      <w:pPr>
        <w:spacing w:after="0" w:line="240" w:lineRule="auto"/>
      </w:pPr>
      <w:r>
        <w:separator/>
      </w:r>
    </w:p>
  </w:endnote>
  <w:endnote w:type="continuationSeparator" w:id="0">
    <w:p w14:paraId="59A76291" w14:textId="77777777" w:rsidR="0047715B" w:rsidRDefault="0047715B" w:rsidP="00AD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Humnst777 BT"/>
    <w:panose1 w:val="020B0603030504020204"/>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0F8F" w14:textId="77777777" w:rsidR="004C783D" w:rsidRDefault="004C7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3633"/>
      <w:docPartObj>
        <w:docPartGallery w:val="Page Numbers (Bottom of Page)"/>
        <w:docPartUnique/>
      </w:docPartObj>
    </w:sdtPr>
    <w:sdtEndPr>
      <w:rPr>
        <w:noProof/>
      </w:rPr>
    </w:sdtEndPr>
    <w:sdtContent>
      <w:p w14:paraId="273AA84C" w14:textId="273E4F24" w:rsidR="00AD1749" w:rsidRDefault="00AD1749">
        <w:pPr>
          <w:pStyle w:val="Footer"/>
          <w:jc w:val="right"/>
        </w:pPr>
        <w:r>
          <w:fldChar w:fldCharType="begin"/>
        </w:r>
        <w:r>
          <w:instrText xml:space="preserve"> PAGE   \* MERGEFORMAT </w:instrText>
        </w:r>
        <w:r>
          <w:fldChar w:fldCharType="separate"/>
        </w:r>
        <w:r w:rsidR="00311BEC">
          <w:rPr>
            <w:noProof/>
          </w:rPr>
          <w:t>8</w:t>
        </w:r>
        <w:r>
          <w:rPr>
            <w:noProof/>
          </w:rPr>
          <w:fldChar w:fldCharType="end"/>
        </w:r>
      </w:p>
    </w:sdtContent>
  </w:sdt>
  <w:p w14:paraId="4EBDBE11" w14:textId="1557398D" w:rsidR="00AD1749" w:rsidRDefault="004C783D">
    <w:pPr>
      <w:pStyle w:val="Footer"/>
    </w:pPr>
    <w:r>
      <w:t>Version: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4F9" w14:textId="77777777" w:rsidR="004C783D" w:rsidRDefault="004C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75F6" w14:textId="77777777" w:rsidR="0047715B" w:rsidRDefault="0047715B" w:rsidP="00AD1749">
      <w:pPr>
        <w:spacing w:after="0" w:line="240" w:lineRule="auto"/>
      </w:pPr>
      <w:r>
        <w:separator/>
      </w:r>
    </w:p>
  </w:footnote>
  <w:footnote w:type="continuationSeparator" w:id="0">
    <w:p w14:paraId="5E9EC418" w14:textId="77777777" w:rsidR="0047715B" w:rsidRDefault="0047715B" w:rsidP="00AD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7A9" w14:textId="77777777" w:rsidR="004C783D" w:rsidRDefault="004C7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6C2F" w14:textId="77777777" w:rsidR="004C783D" w:rsidRDefault="004C7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F9D0" w14:textId="77777777" w:rsidR="004C783D" w:rsidRDefault="004C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03"/>
    <w:multiLevelType w:val="multilevel"/>
    <w:tmpl w:val="D1A07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B3ABB"/>
    <w:multiLevelType w:val="multilevel"/>
    <w:tmpl w:val="B5FE54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097B61C6"/>
    <w:multiLevelType w:val="hybridMultilevel"/>
    <w:tmpl w:val="503C7C5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3" w15:restartNumberingAfterBreak="0">
    <w:nsid w:val="0AB619BD"/>
    <w:multiLevelType w:val="hybridMultilevel"/>
    <w:tmpl w:val="3E4099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B783D4B"/>
    <w:multiLevelType w:val="multilevel"/>
    <w:tmpl w:val="7586F002"/>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4659A"/>
    <w:multiLevelType w:val="multilevel"/>
    <w:tmpl w:val="D1A07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E77145"/>
    <w:multiLevelType w:val="hybridMultilevel"/>
    <w:tmpl w:val="8EEEE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B0F8C"/>
    <w:multiLevelType w:val="multilevel"/>
    <w:tmpl w:val="1CEC0C6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8" w15:restartNumberingAfterBreak="0">
    <w:nsid w:val="204C4D62"/>
    <w:multiLevelType w:val="hybridMultilevel"/>
    <w:tmpl w:val="CEC886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11E253F"/>
    <w:multiLevelType w:val="multilevel"/>
    <w:tmpl w:val="D1A07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513278"/>
    <w:multiLevelType w:val="multilevel"/>
    <w:tmpl w:val="DC867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3F2E67"/>
    <w:multiLevelType w:val="multilevel"/>
    <w:tmpl w:val="7586F002"/>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70546B"/>
    <w:multiLevelType w:val="hybridMultilevel"/>
    <w:tmpl w:val="ADBA3CBE"/>
    <w:lvl w:ilvl="0" w:tplc="0809000F">
      <w:start w:val="1"/>
      <w:numFmt w:val="decimal"/>
      <w:lvlText w:val="%1."/>
      <w:lvlJc w:val="left"/>
      <w:pPr>
        <w:ind w:left="720" w:hanging="360"/>
      </w:pPr>
      <w:rPr>
        <w:rFonts w:hint="default"/>
      </w:rPr>
    </w:lvl>
    <w:lvl w:ilvl="1" w:tplc="CCE4D552">
      <w:start w:val="1"/>
      <w:numFmt w:val="decimal"/>
      <w:lvlText w:val="%2."/>
      <w:lvlJc w:val="left"/>
      <w:pPr>
        <w:ind w:left="1440" w:hanging="360"/>
      </w:pPr>
      <w:rPr>
        <w:rFonts w:ascii="Calibri" w:eastAsia="Calibri" w:hAnsi="Calibri" w:cs="Calibr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050E90"/>
    <w:multiLevelType w:val="hybridMultilevel"/>
    <w:tmpl w:val="17301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70BF8"/>
    <w:multiLevelType w:val="hybridMultilevel"/>
    <w:tmpl w:val="BCD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E5E2D"/>
    <w:multiLevelType w:val="hybridMultilevel"/>
    <w:tmpl w:val="A8B49B08"/>
    <w:lvl w:ilvl="0" w:tplc="5B7C32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D7AEE"/>
    <w:multiLevelType w:val="multilevel"/>
    <w:tmpl w:val="DC867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6057C"/>
    <w:multiLevelType w:val="multilevel"/>
    <w:tmpl w:val="0F34B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9B6352"/>
    <w:multiLevelType w:val="hybridMultilevel"/>
    <w:tmpl w:val="77F685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ED46705"/>
    <w:multiLevelType w:val="multilevel"/>
    <w:tmpl w:val="CD9EAF8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2F48A2"/>
    <w:multiLevelType w:val="multilevel"/>
    <w:tmpl w:val="D1A07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76B8A"/>
    <w:multiLevelType w:val="multilevel"/>
    <w:tmpl w:val="A94AF15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2" w15:restartNumberingAfterBreak="0">
    <w:nsid w:val="56734FC4"/>
    <w:multiLevelType w:val="multilevel"/>
    <w:tmpl w:val="D1A07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859D4"/>
    <w:multiLevelType w:val="multilevel"/>
    <w:tmpl w:val="ABDCA13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4" w15:restartNumberingAfterBreak="0">
    <w:nsid w:val="64747CB7"/>
    <w:multiLevelType w:val="multilevel"/>
    <w:tmpl w:val="7586F002"/>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73D52D5"/>
    <w:multiLevelType w:val="multilevel"/>
    <w:tmpl w:val="1E5C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F3C7C"/>
    <w:multiLevelType w:val="multilevel"/>
    <w:tmpl w:val="4560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D61C9F"/>
    <w:multiLevelType w:val="hybridMultilevel"/>
    <w:tmpl w:val="9090779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3E618D6"/>
    <w:multiLevelType w:val="hybridMultilevel"/>
    <w:tmpl w:val="0D78F6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23"/>
  </w:num>
  <w:num w:numId="3">
    <w:abstractNumId w:val="21"/>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4"/>
  </w:num>
  <w:num w:numId="16">
    <w:abstractNumId w:val="12"/>
  </w:num>
  <w:num w:numId="17">
    <w:abstractNumId w:val="18"/>
  </w:num>
  <w:num w:numId="18">
    <w:abstractNumId w:val="28"/>
  </w:num>
  <w:num w:numId="19">
    <w:abstractNumId w:val="8"/>
  </w:num>
  <w:num w:numId="20">
    <w:abstractNumId w:val="27"/>
  </w:num>
  <w:num w:numId="21">
    <w:abstractNumId w:val="22"/>
  </w:num>
  <w:num w:numId="22">
    <w:abstractNumId w:val="3"/>
  </w:num>
  <w:num w:numId="23">
    <w:abstractNumId w:val="0"/>
  </w:num>
  <w:num w:numId="24">
    <w:abstractNumId w:val="5"/>
  </w:num>
  <w:num w:numId="25">
    <w:abstractNumId w:val="20"/>
  </w:num>
  <w:num w:numId="26">
    <w:abstractNumId w:val="9"/>
  </w:num>
  <w:num w:numId="27">
    <w:abstractNumId w:val="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87"/>
    <w:rsid w:val="000244A1"/>
    <w:rsid w:val="00035B91"/>
    <w:rsid w:val="0009613F"/>
    <w:rsid w:val="000A3161"/>
    <w:rsid w:val="000C6A95"/>
    <w:rsid w:val="0011280A"/>
    <w:rsid w:val="0012644E"/>
    <w:rsid w:val="0014023B"/>
    <w:rsid w:val="0019529A"/>
    <w:rsid w:val="001A312D"/>
    <w:rsid w:val="001A6A27"/>
    <w:rsid w:val="001B676C"/>
    <w:rsid w:val="001F58E0"/>
    <w:rsid w:val="00216954"/>
    <w:rsid w:val="00240B85"/>
    <w:rsid w:val="00255306"/>
    <w:rsid w:val="002605B4"/>
    <w:rsid w:val="002D48BB"/>
    <w:rsid w:val="002E405D"/>
    <w:rsid w:val="00302849"/>
    <w:rsid w:val="00302A17"/>
    <w:rsid w:val="00302B92"/>
    <w:rsid w:val="00311BEC"/>
    <w:rsid w:val="00320359"/>
    <w:rsid w:val="003A4B4C"/>
    <w:rsid w:val="003D16D6"/>
    <w:rsid w:val="003E7F9D"/>
    <w:rsid w:val="003F1071"/>
    <w:rsid w:val="003F7FA9"/>
    <w:rsid w:val="00400D50"/>
    <w:rsid w:val="004105E8"/>
    <w:rsid w:val="0041294D"/>
    <w:rsid w:val="00416D7A"/>
    <w:rsid w:val="00420F8E"/>
    <w:rsid w:val="00425B50"/>
    <w:rsid w:val="0046304B"/>
    <w:rsid w:val="00466CF0"/>
    <w:rsid w:val="00474499"/>
    <w:rsid w:val="0047715B"/>
    <w:rsid w:val="004970CF"/>
    <w:rsid w:val="004A11CB"/>
    <w:rsid w:val="004C783D"/>
    <w:rsid w:val="004D2EA5"/>
    <w:rsid w:val="004D42DD"/>
    <w:rsid w:val="004D739A"/>
    <w:rsid w:val="004E35B5"/>
    <w:rsid w:val="005108C6"/>
    <w:rsid w:val="00520A8B"/>
    <w:rsid w:val="00543AEE"/>
    <w:rsid w:val="0058022F"/>
    <w:rsid w:val="00592BD4"/>
    <w:rsid w:val="006112E2"/>
    <w:rsid w:val="006726E9"/>
    <w:rsid w:val="006825F1"/>
    <w:rsid w:val="00682757"/>
    <w:rsid w:val="006A16A3"/>
    <w:rsid w:val="006C3215"/>
    <w:rsid w:val="00723E13"/>
    <w:rsid w:val="00724D4A"/>
    <w:rsid w:val="0073548E"/>
    <w:rsid w:val="00787A94"/>
    <w:rsid w:val="00791D3C"/>
    <w:rsid w:val="007A6689"/>
    <w:rsid w:val="007A7687"/>
    <w:rsid w:val="007C283A"/>
    <w:rsid w:val="007C778B"/>
    <w:rsid w:val="007C7D3C"/>
    <w:rsid w:val="007E7298"/>
    <w:rsid w:val="00802D80"/>
    <w:rsid w:val="0081273C"/>
    <w:rsid w:val="008537C7"/>
    <w:rsid w:val="00860D41"/>
    <w:rsid w:val="008A2CED"/>
    <w:rsid w:val="008D5BF1"/>
    <w:rsid w:val="008E34CA"/>
    <w:rsid w:val="0090121C"/>
    <w:rsid w:val="009308EC"/>
    <w:rsid w:val="0093204C"/>
    <w:rsid w:val="00947F7F"/>
    <w:rsid w:val="00956603"/>
    <w:rsid w:val="009A0014"/>
    <w:rsid w:val="009C447B"/>
    <w:rsid w:val="009D20E9"/>
    <w:rsid w:val="00A07355"/>
    <w:rsid w:val="00A27A08"/>
    <w:rsid w:val="00A920C4"/>
    <w:rsid w:val="00A97F3D"/>
    <w:rsid w:val="00AC0B30"/>
    <w:rsid w:val="00AD1749"/>
    <w:rsid w:val="00B0429B"/>
    <w:rsid w:val="00B249FE"/>
    <w:rsid w:val="00B60BB1"/>
    <w:rsid w:val="00B62D09"/>
    <w:rsid w:val="00B67A5C"/>
    <w:rsid w:val="00B7145B"/>
    <w:rsid w:val="00B73BE5"/>
    <w:rsid w:val="00C10944"/>
    <w:rsid w:val="00C65C39"/>
    <w:rsid w:val="00C91721"/>
    <w:rsid w:val="00CA2C76"/>
    <w:rsid w:val="00CC237A"/>
    <w:rsid w:val="00CF387F"/>
    <w:rsid w:val="00D45E14"/>
    <w:rsid w:val="00D5385A"/>
    <w:rsid w:val="00D70865"/>
    <w:rsid w:val="00E346AE"/>
    <w:rsid w:val="00E35465"/>
    <w:rsid w:val="00E42222"/>
    <w:rsid w:val="00E54C12"/>
    <w:rsid w:val="00E83496"/>
    <w:rsid w:val="00EA375E"/>
    <w:rsid w:val="00EF7F96"/>
    <w:rsid w:val="00F10B20"/>
    <w:rsid w:val="00F25058"/>
    <w:rsid w:val="00F263A0"/>
    <w:rsid w:val="00F2781F"/>
    <w:rsid w:val="00F44EEA"/>
    <w:rsid w:val="00F621D4"/>
    <w:rsid w:val="00F7274B"/>
    <w:rsid w:val="00F76924"/>
    <w:rsid w:val="00F92C09"/>
    <w:rsid w:val="00FA0BF6"/>
    <w:rsid w:val="00FC6EEE"/>
    <w:rsid w:val="00FF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7603"/>
  <w15:chartTrackingRefBased/>
  <w15:docId w15:val="{37728314-1D91-45BD-ABE6-EB4DC2BE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87"/>
    <w:pPr>
      <w:spacing w:line="256" w:lineRule="auto"/>
    </w:pPr>
    <w:rPr>
      <w:rFonts w:ascii="Calibri" w:eastAsia="Calibri" w:hAnsi="Calibri" w:cs="Calibri"/>
      <w:lang w:eastAsia="ar-SA"/>
    </w:rPr>
  </w:style>
  <w:style w:type="paragraph" w:styleId="Heading3">
    <w:name w:val="heading 3"/>
    <w:basedOn w:val="Normal"/>
    <w:link w:val="Heading3Char"/>
    <w:unhideWhenUsed/>
    <w:qFormat/>
    <w:rsid w:val="007A7687"/>
    <w:pPr>
      <w:keepNext/>
      <w:autoSpaceDE w:val="0"/>
      <w:autoSpaceDN w:val="0"/>
      <w:adjustRightInd w:val="0"/>
      <w:spacing w:before="120" w:after="120" w:line="240" w:lineRule="auto"/>
      <w:jc w:val="both"/>
      <w:outlineLvl w:val="2"/>
    </w:pPr>
    <w:rPr>
      <w:rFonts w:ascii="Humnst777 BT" w:eastAsia="Humnst777 BT" w:hAnsi="Humnst777 BT" w:cs="Humnst777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687"/>
    <w:rPr>
      <w:rFonts w:ascii="Humnst777 BT" w:eastAsia="Humnst777 BT" w:hAnsi="Humnst777 BT" w:cs="Humnst777 BT"/>
      <w:b/>
      <w:lang w:eastAsia="ar-SA"/>
    </w:rPr>
  </w:style>
  <w:style w:type="paragraph" w:styleId="PlainText">
    <w:name w:val="Plain Text"/>
    <w:basedOn w:val="Normal"/>
    <w:link w:val="PlainTextChar"/>
    <w:unhideWhenUsed/>
    <w:rsid w:val="007A7687"/>
    <w:pPr>
      <w:autoSpaceDE w:val="0"/>
      <w:autoSpaceDN w:val="0"/>
      <w:adjustRightInd w:val="0"/>
      <w:spacing w:after="0" w:line="240" w:lineRule="auto"/>
    </w:pPr>
    <w:rPr>
      <w:rFonts w:ascii="Consolas" w:eastAsia="Consolas" w:hAnsi="Consolas" w:cs="Consolas"/>
      <w:sz w:val="21"/>
      <w:szCs w:val="21"/>
    </w:rPr>
  </w:style>
  <w:style w:type="character" w:customStyle="1" w:styleId="PlainTextChar">
    <w:name w:val="Plain Text Char"/>
    <w:basedOn w:val="DefaultParagraphFont"/>
    <w:link w:val="PlainText"/>
    <w:rsid w:val="007A7687"/>
    <w:rPr>
      <w:rFonts w:ascii="Consolas" w:eastAsia="Consolas" w:hAnsi="Consolas" w:cs="Consolas"/>
      <w:sz w:val="21"/>
      <w:szCs w:val="21"/>
      <w:lang w:eastAsia="ar-SA"/>
    </w:rPr>
  </w:style>
  <w:style w:type="paragraph" w:styleId="ListParagraph">
    <w:name w:val="List Paragraph"/>
    <w:basedOn w:val="Normal"/>
    <w:uiPriority w:val="34"/>
    <w:qFormat/>
    <w:rsid w:val="007A7687"/>
    <w:pPr>
      <w:ind w:left="720"/>
      <w:contextualSpacing/>
    </w:pPr>
  </w:style>
  <w:style w:type="table" w:styleId="TableGrid">
    <w:name w:val="Table Grid"/>
    <w:basedOn w:val="TableNormal"/>
    <w:rsid w:val="007A768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87"/>
    <w:rPr>
      <w:rFonts w:ascii="Segoe UI" w:eastAsia="Calibri" w:hAnsi="Segoe UI" w:cs="Segoe UI"/>
      <w:sz w:val="18"/>
      <w:szCs w:val="18"/>
      <w:lang w:eastAsia="ar-SA"/>
    </w:rPr>
  </w:style>
  <w:style w:type="table" w:customStyle="1" w:styleId="TableGrid1">
    <w:name w:val="Table Grid1"/>
    <w:basedOn w:val="TableNormal"/>
    <w:next w:val="TableGrid"/>
    <w:uiPriority w:val="59"/>
    <w:rsid w:val="00474499"/>
    <w:pPr>
      <w:autoSpaceDE w:val="0"/>
      <w:autoSpaceDN w:val="0"/>
      <w:adjustRightInd w:val="0"/>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603"/>
    <w:rPr>
      <w:color w:val="0563C1" w:themeColor="hyperlink"/>
      <w:u w:val="single"/>
    </w:rPr>
  </w:style>
  <w:style w:type="character" w:customStyle="1" w:styleId="UnresolvedMention1">
    <w:name w:val="Unresolved Mention1"/>
    <w:basedOn w:val="DefaultParagraphFont"/>
    <w:uiPriority w:val="99"/>
    <w:semiHidden/>
    <w:unhideWhenUsed/>
    <w:rsid w:val="00956603"/>
    <w:rPr>
      <w:color w:val="605E5C"/>
      <w:shd w:val="clear" w:color="auto" w:fill="E1DFDD"/>
    </w:rPr>
  </w:style>
  <w:style w:type="paragraph" w:styleId="Header">
    <w:name w:val="header"/>
    <w:basedOn w:val="Normal"/>
    <w:link w:val="HeaderChar"/>
    <w:uiPriority w:val="99"/>
    <w:unhideWhenUsed/>
    <w:rsid w:val="00AD1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49"/>
    <w:rPr>
      <w:rFonts w:ascii="Calibri" w:eastAsia="Calibri" w:hAnsi="Calibri" w:cs="Calibri"/>
      <w:lang w:eastAsia="ar-SA"/>
    </w:rPr>
  </w:style>
  <w:style w:type="paragraph" w:styleId="Footer">
    <w:name w:val="footer"/>
    <w:basedOn w:val="Normal"/>
    <w:link w:val="FooterChar"/>
    <w:uiPriority w:val="99"/>
    <w:unhideWhenUsed/>
    <w:rsid w:val="00AD1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49"/>
    <w:rPr>
      <w:rFonts w:ascii="Calibri" w:eastAsia="Calibri" w:hAnsi="Calibri" w:cs="Calibri"/>
      <w:lang w:eastAsia="ar-SA"/>
    </w:rPr>
  </w:style>
  <w:style w:type="character" w:styleId="FollowedHyperlink">
    <w:name w:val="FollowedHyperlink"/>
    <w:basedOn w:val="DefaultParagraphFont"/>
    <w:uiPriority w:val="99"/>
    <w:semiHidden/>
    <w:unhideWhenUsed/>
    <w:rsid w:val="00CF387F"/>
    <w:rPr>
      <w:color w:val="954F72" w:themeColor="followedHyperlink"/>
      <w:u w:val="single"/>
    </w:rPr>
  </w:style>
  <w:style w:type="character" w:styleId="CommentReference">
    <w:name w:val="annotation reference"/>
    <w:basedOn w:val="DefaultParagraphFont"/>
    <w:uiPriority w:val="99"/>
    <w:semiHidden/>
    <w:unhideWhenUsed/>
    <w:rsid w:val="001B676C"/>
    <w:rPr>
      <w:sz w:val="16"/>
      <w:szCs w:val="16"/>
    </w:rPr>
  </w:style>
  <w:style w:type="paragraph" w:styleId="CommentText">
    <w:name w:val="annotation text"/>
    <w:basedOn w:val="Normal"/>
    <w:link w:val="CommentTextChar"/>
    <w:uiPriority w:val="99"/>
    <w:semiHidden/>
    <w:unhideWhenUsed/>
    <w:rsid w:val="001B676C"/>
    <w:pPr>
      <w:spacing w:line="240" w:lineRule="auto"/>
    </w:pPr>
    <w:rPr>
      <w:sz w:val="20"/>
      <w:szCs w:val="20"/>
    </w:rPr>
  </w:style>
  <w:style w:type="character" w:customStyle="1" w:styleId="CommentTextChar">
    <w:name w:val="Comment Text Char"/>
    <w:basedOn w:val="DefaultParagraphFont"/>
    <w:link w:val="CommentText"/>
    <w:uiPriority w:val="99"/>
    <w:semiHidden/>
    <w:rsid w:val="001B676C"/>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9D20E9"/>
    <w:rPr>
      <w:b/>
      <w:bCs/>
    </w:rPr>
  </w:style>
  <w:style w:type="character" w:customStyle="1" w:styleId="CommentSubjectChar">
    <w:name w:val="Comment Subject Char"/>
    <w:basedOn w:val="CommentTextChar"/>
    <w:link w:val="CommentSubject"/>
    <w:uiPriority w:val="99"/>
    <w:semiHidden/>
    <w:rsid w:val="009D20E9"/>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ac.uk/learning-and-teaching-enhancement/docs/Guidance-and-books/Guidance-for-Programme-Design-and-Development-Final-Feb-2019.pdf" TargetMode="External"/><Relationship Id="rId13" Type="http://schemas.openxmlformats.org/officeDocument/2006/relationships/hyperlink" Target="https://www.canterbury.ac.uk/learning-and-teaching-enhancement/docs/Learning-and-Teaching-Strategy-2015-20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nterbury.ac.uk/quality-and-standards-office/programme-approval-modification-and-review/programme-validation.aspx" TargetMode="External"/><Relationship Id="rId17" Type="http://schemas.openxmlformats.org/officeDocument/2006/relationships/hyperlink" Target="https://www.instituteforapprenticeships.org/developing-new-apprenticeshi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terbury.ac.uk/learning-and-teaching-enhancement/docs/Learning-and-Teaching-Strategy-2015-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rbury.ac.uk/quality-and-standards-office/regulations-policies-and-procedures/quality-manual.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ituteforapprenticeships.org/media/1489/institute-for-apprenticeships-statement-quality-apprenticeships-002.pdf" TargetMode="External"/><Relationship Id="rId23" Type="http://schemas.openxmlformats.org/officeDocument/2006/relationships/footer" Target="footer3.xml"/><Relationship Id="rId10" Type="http://schemas.openxmlformats.org/officeDocument/2006/relationships/hyperlink" Target="https://www.canterbury.ac.uk/quality-and-standards-office/regulations-policies-and-procedures/regulations-policies-and-procedure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nterbury.ac.uk/quality-and-standards-office/regulations-policies-and-procedures/regulation-and-credit-framework.aspx" TargetMode="External"/><Relationship Id="rId14" Type="http://schemas.openxmlformats.org/officeDocument/2006/relationships/hyperlink" Target="https://www.qaa.ac.uk/docs/qaa/quality-code/characteristics-statement-apprenticeship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C976-F720-4DBA-AF7B-6C94A5D1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(claire.anderson@canterbury.ac.uk)</dc:creator>
  <cp:keywords/>
  <dc:description/>
  <cp:lastModifiedBy>Helen Audsley</cp:lastModifiedBy>
  <cp:revision>6</cp:revision>
  <cp:lastPrinted>2021-04-29T18:17:00Z</cp:lastPrinted>
  <dcterms:created xsi:type="dcterms:W3CDTF">2021-05-12T08:36:00Z</dcterms:created>
  <dcterms:modified xsi:type="dcterms:W3CDTF">2022-01-24T11:34:00Z</dcterms:modified>
</cp:coreProperties>
</file>