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AD3" w:rsidRPr="00615886" w:rsidRDefault="000E26F8" w:rsidP="0011771E">
      <w:pPr>
        <w:pStyle w:val="Heading2"/>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5255260</wp:posOffset>
                </wp:positionH>
                <wp:positionV relativeFrom="paragraph">
                  <wp:posOffset>-713105</wp:posOffset>
                </wp:positionV>
                <wp:extent cx="1288415" cy="316230"/>
                <wp:effectExtent l="6985" t="10795" r="952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316230"/>
                        </a:xfrm>
                        <a:prstGeom prst="rect">
                          <a:avLst/>
                        </a:prstGeom>
                        <a:solidFill>
                          <a:srgbClr val="FFFFFF"/>
                        </a:solidFill>
                        <a:ln w="9525">
                          <a:solidFill>
                            <a:srgbClr val="FFFFFF"/>
                          </a:solidFill>
                          <a:miter lim="800000"/>
                          <a:headEnd/>
                          <a:tailEnd/>
                        </a:ln>
                      </wps:spPr>
                      <wps:txbx>
                        <w:txbxContent>
                          <w:p w:rsidR="003035CD" w:rsidRDefault="003035CD" w:rsidP="00FC4EE4">
                            <w:pPr>
                              <w:rPr>
                                <w:rFonts w:ascii="Humnst777 BT" w:hAnsi="Humnst777 BT"/>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3.8pt;margin-top:-56.15pt;width:101.45pt;height:2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3WKQIAAFAEAAAOAAAAZHJzL2Uyb0RvYy54bWysVNtu2zAMfR+wfxD0vjhxky414hRdugwD&#10;ugvQ7gNkWbaFSaImKbGzry8lp5mxvQzD/CCIInVEnkN6cztoRY7CeQmmpIvZnBJhONTStCX99rR/&#10;s6bEB2ZqpsCIkp6Ep7fb1682vS1EDh2oWjiCIMYXvS1pF4ItsszzTmjmZ2CFQWcDTrOApmuz2rEe&#10;0bXK8vn8OuvB1dYBF97j6f3opNuE3zSChy9N40UgqqSYW0irS2sV12y7YUXrmO0kP6fB/iELzaTB&#10;Ry9Q9ywwcnDyDygtuQMPTZhx0Bk0jeQi1YDVLOa/VfPYMStSLUiOtxea/P+D5Z+PXx2RNWpHiWEa&#10;JXoSQyDvYCB5ZKe3vsCgR4thYcDjGBkr9fYB+HdPDOw6Zlpx5xz0nWA1ZreIN7PJ1RHHR5Cq/wQ1&#10;PsMOARLQ0DgdAZEMguio0umiTEyFxyfz9Xq5WFHC0Xe1uM6vknQZK15uW+fDBwGaxE1JHSqf0Nnx&#10;wYeYDSteQlL2oGS9l0olw7XVTjlyZNgl+/SlArDIaZgypC/pzSpfjQRMff7vILQM2O5K6pKu5/Eb&#10;GzDS9t7UqRkDk2rcY8rKnHmM1I0khqEazrpUUJ+QUQdjW+MY4qYD95OSHlu6pP7HgTlBifpoUJWb&#10;xXIZZyAZy9XbHA039VRTDzMcoUoaKBm3uzDOzcE62Xb40tgHBu5QyUYmkqPkY1bnvLFtE/fnEYtz&#10;MbVT1K8fwfYZAAD//wMAUEsDBBQABgAIAAAAIQB57aeJ4QAAAA0BAAAPAAAAZHJzL2Rvd25yZXYu&#10;eG1sTI/BbsIwDIbvk/YOkSftMkHSIDpUmiKENu0M22W30Ji2onHaJtCyp184bUfbn35/f76ZbMuu&#10;OPjGkYJkLoAhlc40VCn4+nyfrYD5oMno1hEquKGHTfH4kOvMuJH2eD2EisUQ8plWUIfQZZz7skar&#10;/dx1SPF2coPVIY5Dxc2gxxhuWy6FSLnVDcUPte5wV2N5PlysAje+3azDXsiX7x/7sdv2+5PslXp+&#10;mrZrYAGn8AfDXT+qQxGdju5CxrNWwUq+phFVMEsSuQB2R8RCLIEd4y6VS+BFzv+3KH4BAAD//wMA&#10;UEsBAi0AFAAGAAgAAAAhALaDOJL+AAAA4QEAABMAAAAAAAAAAAAAAAAAAAAAAFtDb250ZW50X1R5&#10;cGVzXS54bWxQSwECLQAUAAYACAAAACEAOP0h/9YAAACUAQAACwAAAAAAAAAAAAAAAAAvAQAAX3Jl&#10;bHMvLnJlbHNQSwECLQAUAAYACAAAACEAFz/91ikCAABQBAAADgAAAAAAAAAAAAAAAAAuAgAAZHJz&#10;L2Uyb0RvYy54bWxQSwECLQAUAAYACAAAACEAee2nieEAAAANAQAADwAAAAAAAAAAAAAAAACDBAAA&#10;ZHJzL2Rvd25yZXYueG1sUEsFBgAAAAAEAAQA8wAAAJEFAAAAAA==&#10;" strokecolor="white">
                <v:textbox>
                  <w:txbxContent>
                    <w:p w:rsidR="003035CD" w:rsidRDefault="003035CD" w:rsidP="00FC4EE4">
                      <w:pPr>
                        <w:rPr>
                          <w:rFonts w:ascii="Humnst777 BT" w:hAnsi="Humnst777 BT"/>
                          <w:b/>
                          <w:sz w:val="28"/>
                          <w:szCs w:val="28"/>
                        </w:rPr>
                      </w:pPr>
                    </w:p>
                  </w:txbxContent>
                </v:textbox>
              </v:shape>
            </w:pict>
          </mc:Fallback>
        </mc:AlternateContent>
      </w:r>
      <w:r w:rsidR="00934AD3" w:rsidRPr="00615886">
        <w:t>Standard I</w:t>
      </w:r>
      <w:r w:rsidR="00BC3398" w:rsidRPr="00615886">
        <w:t xml:space="preserve">nformation Items for </w:t>
      </w:r>
      <w:r w:rsidR="006C0872">
        <w:t xml:space="preserve">Programme </w:t>
      </w:r>
      <w:r w:rsidR="00BC3398" w:rsidRPr="00615886">
        <w:t>Validation</w:t>
      </w:r>
      <w:r w:rsidR="00973777">
        <w:t>, Partner Approval</w:t>
      </w:r>
      <w:r w:rsidR="006C0872">
        <w:t xml:space="preserve"> and Periodic</w:t>
      </w:r>
      <w:r w:rsidR="00CC2FAB">
        <w:t xml:space="preserve"> Programme</w:t>
      </w:r>
      <w:r w:rsidR="006C0872">
        <w:t xml:space="preserve"> </w:t>
      </w:r>
      <w:r w:rsidR="00973777">
        <w:t xml:space="preserve">and Partnership </w:t>
      </w:r>
      <w:r w:rsidR="006C0872">
        <w:t>Review</w:t>
      </w:r>
    </w:p>
    <w:p w:rsidR="00D363E4" w:rsidRPr="00615886" w:rsidRDefault="00D363E4" w:rsidP="0011771E">
      <w:pPr>
        <w:ind w:right="-43"/>
        <w:rPr>
          <w:rFonts w:ascii="Humnst777 BT" w:hAnsi="Humnst777 BT"/>
        </w:rPr>
      </w:pPr>
    </w:p>
    <w:p w:rsidR="00D363E4" w:rsidRPr="00186A36" w:rsidRDefault="00D363E4" w:rsidP="00120327">
      <w:pPr>
        <w:pStyle w:val="PlainText"/>
        <w:tabs>
          <w:tab w:val="left" w:pos="3510"/>
          <w:tab w:val="left" w:pos="5778"/>
        </w:tabs>
        <w:jc w:val="both"/>
        <w:rPr>
          <w:rFonts w:ascii="Humnst777 BT" w:hAnsi="Humnst777 BT"/>
          <w:sz w:val="22"/>
          <w:szCs w:val="22"/>
        </w:rPr>
      </w:pPr>
      <w:r w:rsidRPr="00186A36">
        <w:rPr>
          <w:rFonts w:ascii="Humnst777 BT" w:hAnsi="Humnst777 BT"/>
          <w:sz w:val="22"/>
          <w:szCs w:val="22"/>
        </w:rPr>
        <w:t xml:space="preserve">The purpose of this electronic </w:t>
      </w:r>
      <w:r w:rsidR="0011771E" w:rsidRPr="00186A36">
        <w:rPr>
          <w:rFonts w:ascii="Humnst777 BT" w:hAnsi="Humnst777 BT"/>
          <w:sz w:val="22"/>
          <w:szCs w:val="22"/>
        </w:rPr>
        <w:t>g</w:t>
      </w:r>
      <w:r w:rsidRPr="00186A36">
        <w:rPr>
          <w:rFonts w:ascii="Humnst777 BT" w:hAnsi="Humnst777 BT"/>
          <w:sz w:val="22"/>
          <w:szCs w:val="22"/>
        </w:rPr>
        <w:t>uide is to provide</w:t>
      </w:r>
      <w:r w:rsidR="0011771E" w:rsidRPr="00186A36">
        <w:rPr>
          <w:rFonts w:ascii="Humnst777 BT" w:hAnsi="Humnst777 BT"/>
          <w:sz w:val="22"/>
          <w:szCs w:val="22"/>
        </w:rPr>
        <w:t xml:space="preserve"> essential information to support </w:t>
      </w:r>
      <w:r w:rsidR="006C0872">
        <w:rPr>
          <w:rFonts w:ascii="Humnst777 BT" w:hAnsi="Humnst777 BT"/>
          <w:sz w:val="22"/>
          <w:szCs w:val="22"/>
        </w:rPr>
        <w:t xml:space="preserve">programme </w:t>
      </w:r>
      <w:r w:rsidR="0011771E" w:rsidRPr="00186A36">
        <w:rPr>
          <w:rFonts w:ascii="Humnst777 BT" w:hAnsi="Humnst777 BT"/>
          <w:sz w:val="22"/>
          <w:szCs w:val="22"/>
        </w:rPr>
        <w:t>validations</w:t>
      </w:r>
      <w:r w:rsidR="00973777">
        <w:rPr>
          <w:rFonts w:ascii="Humnst777 BT" w:hAnsi="Humnst777 BT"/>
          <w:sz w:val="22"/>
          <w:szCs w:val="22"/>
        </w:rPr>
        <w:t xml:space="preserve">, partner approval </w:t>
      </w:r>
      <w:r w:rsidR="006C0872">
        <w:rPr>
          <w:rFonts w:ascii="Humnst777 BT" w:hAnsi="Humnst777 BT"/>
          <w:sz w:val="22"/>
          <w:szCs w:val="22"/>
        </w:rPr>
        <w:t xml:space="preserve">and </w:t>
      </w:r>
      <w:r w:rsidR="00973777">
        <w:rPr>
          <w:rFonts w:ascii="Humnst777 BT" w:hAnsi="Humnst777 BT"/>
          <w:sz w:val="22"/>
          <w:szCs w:val="22"/>
        </w:rPr>
        <w:t xml:space="preserve">periodic programme and partnership </w:t>
      </w:r>
      <w:r w:rsidR="006C0872">
        <w:rPr>
          <w:rFonts w:ascii="Humnst777 BT" w:hAnsi="Humnst777 BT"/>
          <w:sz w:val="22"/>
          <w:szCs w:val="22"/>
        </w:rPr>
        <w:t xml:space="preserve">reviews </w:t>
      </w:r>
      <w:r w:rsidR="0011771E" w:rsidRPr="00186A36">
        <w:rPr>
          <w:rFonts w:ascii="Humnst777 BT" w:hAnsi="Humnst777 BT"/>
          <w:sz w:val="22"/>
          <w:szCs w:val="22"/>
        </w:rPr>
        <w:t>and to provide</w:t>
      </w:r>
      <w:r w:rsidRPr="00186A36">
        <w:rPr>
          <w:rFonts w:ascii="Humnst777 BT" w:hAnsi="Humnst777 BT"/>
          <w:sz w:val="22"/>
          <w:szCs w:val="22"/>
        </w:rPr>
        <w:t xml:space="preserve"> links to </w:t>
      </w:r>
      <w:r w:rsidR="00B7092D" w:rsidRPr="00186A36">
        <w:rPr>
          <w:rFonts w:ascii="Humnst777 BT" w:hAnsi="Humnst777 BT"/>
          <w:sz w:val="22"/>
          <w:szCs w:val="22"/>
        </w:rPr>
        <w:t xml:space="preserve">the </w:t>
      </w:r>
      <w:r w:rsidRPr="00186A36">
        <w:rPr>
          <w:rFonts w:ascii="Humnst777 BT" w:hAnsi="Humnst777 BT"/>
          <w:sz w:val="22"/>
          <w:szCs w:val="22"/>
        </w:rPr>
        <w:t xml:space="preserve">strategies, policies and procedures that govern academic quality and standards. </w:t>
      </w:r>
      <w:r w:rsidR="00120327" w:rsidRPr="00186A36">
        <w:rPr>
          <w:rFonts w:ascii="Humnst777 BT" w:hAnsi="Humnst777 BT"/>
          <w:sz w:val="22"/>
          <w:szCs w:val="22"/>
        </w:rPr>
        <w:t xml:space="preserve"> </w:t>
      </w:r>
      <w:r w:rsidRPr="00186A36">
        <w:rPr>
          <w:rFonts w:ascii="Humnst777 BT" w:hAnsi="Humnst777 BT"/>
          <w:sz w:val="22"/>
          <w:szCs w:val="22"/>
        </w:rPr>
        <w:t xml:space="preserve">It is designed to support </w:t>
      </w:r>
      <w:r w:rsidR="000E57B8" w:rsidRPr="00186A36">
        <w:rPr>
          <w:rFonts w:ascii="Humnst777 BT" w:hAnsi="Humnst777 BT"/>
          <w:sz w:val="22"/>
          <w:szCs w:val="22"/>
        </w:rPr>
        <w:t>P</w:t>
      </w:r>
      <w:r w:rsidRPr="00186A36">
        <w:rPr>
          <w:rFonts w:ascii="Humnst777 BT" w:hAnsi="Humnst777 BT"/>
          <w:sz w:val="22"/>
          <w:szCs w:val="22"/>
        </w:rPr>
        <w:t xml:space="preserve">rogramme </w:t>
      </w:r>
      <w:r w:rsidR="000E57B8" w:rsidRPr="00186A36">
        <w:rPr>
          <w:rFonts w:ascii="Humnst777 BT" w:hAnsi="Humnst777 BT"/>
          <w:sz w:val="22"/>
          <w:szCs w:val="22"/>
        </w:rPr>
        <w:t>D</w:t>
      </w:r>
      <w:r w:rsidRPr="00186A36">
        <w:rPr>
          <w:rFonts w:ascii="Humnst777 BT" w:hAnsi="Humnst777 BT"/>
          <w:sz w:val="22"/>
          <w:szCs w:val="22"/>
        </w:rPr>
        <w:t xml:space="preserve">irectors in the writing of validation or </w:t>
      </w:r>
      <w:r w:rsidR="006C0872">
        <w:rPr>
          <w:rFonts w:ascii="Humnst777 BT" w:hAnsi="Humnst777 BT"/>
          <w:sz w:val="22"/>
          <w:szCs w:val="22"/>
        </w:rPr>
        <w:t xml:space="preserve">review / </w:t>
      </w:r>
      <w:r w:rsidRPr="00186A36">
        <w:rPr>
          <w:rFonts w:ascii="Humnst777 BT" w:hAnsi="Humnst777 BT"/>
          <w:sz w:val="22"/>
          <w:szCs w:val="22"/>
        </w:rPr>
        <w:t xml:space="preserve">revalidation documents, and </w:t>
      </w:r>
      <w:r w:rsidR="0011771E" w:rsidRPr="00186A36">
        <w:rPr>
          <w:rFonts w:ascii="Humnst777 BT" w:hAnsi="Humnst777 BT"/>
          <w:sz w:val="22"/>
          <w:szCs w:val="22"/>
        </w:rPr>
        <w:t>to be</w:t>
      </w:r>
      <w:r w:rsidRPr="00186A36">
        <w:rPr>
          <w:rFonts w:ascii="Humnst777 BT" w:hAnsi="Humnst777 BT"/>
          <w:sz w:val="22"/>
          <w:szCs w:val="22"/>
        </w:rPr>
        <w:t xml:space="preserve"> used as a point of reference by </w:t>
      </w:r>
      <w:r w:rsidR="000E57B8" w:rsidRPr="00186A36">
        <w:rPr>
          <w:rFonts w:ascii="Humnst777 BT" w:hAnsi="Humnst777 BT"/>
          <w:sz w:val="22"/>
          <w:szCs w:val="22"/>
        </w:rPr>
        <w:t xml:space="preserve">External Assessors </w:t>
      </w:r>
      <w:r w:rsidRPr="00186A36">
        <w:rPr>
          <w:rFonts w:ascii="Humnst777 BT" w:hAnsi="Humnst777 BT"/>
          <w:sz w:val="22"/>
          <w:szCs w:val="22"/>
        </w:rPr>
        <w:t xml:space="preserve">attending </w:t>
      </w:r>
      <w:r w:rsidR="00643044" w:rsidRPr="00186A36">
        <w:rPr>
          <w:rFonts w:ascii="Humnst777 BT" w:hAnsi="Humnst777 BT"/>
          <w:sz w:val="22"/>
          <w:szCs w:val="22"/>
        </w:rPr>
        <w:t>panel</w:t>
      </w:r>
      <w:r w:rsidR="00973777">
        <w:rPr>
          <w:rFonts w:ascii="Humnst777 BT" w:hAnsi="Humnst777 BT"/>
          <w:sz w:val="22"/>
          <w:szCs w:val="22"/>
        </w:rPr>
        <w:t xml:space="preserve"> event</w:t>
      </w:r>
      <w:r w:rsidR="00643044" w:rsidRPr="00186A36">
        <w:rPr>
          <w:rFonts w:ascii="Humnst777 BT" w:hAnsi="Humnst777 BT"/>
          <w:sz w:val="22"/>
          <w:szCs w:val="22"/>
        </w:rPr>
        <w:t>s</w:t>
      </w:r>
      <w:r w:rsidRPr="00186A36">
        <w:rPr>
          <w:rFonts w:ascii="Humnst777 BT" w:hAnsi="Humnst777 BT"/>
          <w:sz w:val="22"/>
          <w:szCs w:val="22"/>
        </w:rPr>
        <w:t>.</w:t>
      </w:r>
    </w:p>
    <w:p w:rsidR="00D363E4" w:rsidRPr="00615886" w:rsidRDefault="00D363E4" w:rsidP="00120327">
      <w:pPr>
        <w:pStyle w:val="BodyText2"/>
        <w:spacing w:after="0" w:line="240" w:lineRule="auto"/>
        <w:jc w:val="both"/>
        <w:rPr>
          <w:rFonts w:ascii="Humnst777 BT" w:hAnsi="Humnst777 BT"/>
        </w:rPr>
      </w:pPr>
    </w:p>
    <w:p w:rsidR="00AC11D6" w:rsidRDefault="00D363E4" w:rsidP="00120327">
      <w:pPr>
        <w:pStyle w:val="PlainText"/>
        <w:tabs>
          <w:tab w:val="left" w:pos="3510"/>
          <w:tab w:val="left" w:pos="5778"/>
        </w:tabs>
        <w:jc w:val="both"/>
        <w:rPr>
          <w:rFonts w:ascii="Humnst777 BT" w:hAnsi="Humnst777 BT"/>
          <w:sz w:val="22"/>
          <w:szCs w:val="22"/>
        </w:rPr>
      </w:pPr>
      <w:r w:rsidRPr="00615886">
        <w:rPr>
          <w:rFonts w:ascii="Humnst777 BT" w:hAnsi="Humnst777 BT"/>
          <w:sz w:val="22"/>
          <w:szCs w:val="22"/>
        </w:rPr>
        <w:t xml:space="preserve">The guide is divided into </w:t>
      </w:r>
      <w:r w:rsidR="00DD08D3">
        <w:rPr>
          <w:rFonts w:ascii="Humnst777 BT" w:hAnsi="Humnst777 BT"/>
          <w:sz w:val="22"/>
          <w:szCs w:val="22"/>
        </w:rPr>
        <w:t xml:space="preserve">three </w:t>
      </w:r>
      <w:r w:rsidR="0011771E">
        <w:rPr>
          <w:rFonts w:ascii="Humnst777 BT" w:hAnsi="Humnst777 BT"/>
          <w:sz w:val="22"/>
          <w:szCs w:val="22"/>
        </w:rPr>
        <w:t>parts</w:t>
      </w:r>
      <w:r w:rsidR="00B7092D">
        <w:rPr>
          <w:rFonts w:ascii="Humnst777 BT" w:hAnsi="Humnst777 BT"/>
          <w:sz w:val="22"/>
          <w:szCs w:val="22"/>
        </w:rPr>
        <w:t>:</w:t>
      </w:r>
    </w:p>
    <w:p w:rsidR="00AC11D6" w:rsidRDefault="0011771E" w:rsidP="00120327">
      <w:pPr>
        <w:pStyle w:val="PlainText"/>
        <w:numPr>
          <w:ilvl w:val="0"/>
          <w:numId w:val="6"/>
        </w:numPr>
        <w:tabs>
          <w:tab w:val="left" w:pos="3510"/>
          <w:tab w:val="left" w:pos="5778"/>
        </w:tabs>
        <w:jc w:val="both"/>
        <w:rPr>
          <w:rFonts w:ascii="Humnst777 BT" w:hAnsi="Humnst777 BT"/>
          <w:sz w:val="22"/>
          <w:szCs w:val="22"/>
        </w:rPr>
      </w:pPr>
      <w:r>
        <w:rPr>
          <w:rFonts w:ascii="Humnst777 BT" w:hAnsi="Humnst777 BT"/>
          <w:sz w:val="22"/>
          <w:szCs w:val="22"/>
        </w:rPr>
        <w:t xml:space="preserve">Part 1 </w:t>
      </w:r>
      <w:r w:rsidR="00F80274">
        <w:rPr>
          <w:rFonts w:ascii="Humnst777 BT" w:hAnsi="Humnst777 BT"/>
          <w:sz w:val="22"/>
          <w:szCs w:val="22"/>
        </w:rPr>
        <w:t xml:space="preserve">provides </w:t>
      </w:r>
      <w:r w:rsidR="00F80274" w:rsidRPr="00615886">
        <w:rPr>
          <w:rFonts w:ascii="Humnst777 BT" w:hAnsi="Humnst777 BT"/>
          <w:sz w:val="22"/>
          <w:szCs w:val="22"/>
        </w:rPr>
        <w:t>a</w:t>
      </w:r>
      <w:r w:rsidR="00F80274">
        <w:rPr>
          <w:rFonts w:ascii="Humnst777 BT" w:hAnsi="Humnst777 BT"/>
          <w:sz w:val="22"/>
          <w:szCs w:val="22"/>
        </w:rPr>
        <w:t>n</w:t>
      </w:r>
      <w:r w:rsidR="00F80274" w:rsidRPr="00615886">
        <w:rPr>
          <w:rFonts w:ascii="Humnst777 BT" w:hAnsi="Humnst777 BT"/>
          <w:sz w:val="22"/>
          <w:szCs w:val="22"/>
        </w:rPr>
        <w:t xml:space="preserve"> </w:t>
      </w:r>
      <w:r w:rsidR="00F80274">
        <w:rPr>
          <w:rFonts w:ascii="Humnst777 BT" w:hAnsi="Humnst777 BT"/>
          <w:sz w:val="22"/>
          <w:szCs w:val="22"/>
        </w:rPr>
        <w:t xml:space="preserve">introduction to the University </w:t>
      </w:r>
    </w:p>
    <w:p w:rsidR="00AC11D6" w:rsidRDefault="0011771E" w:rsidP="00120327">
      <w:pPr>
        <w:pStyle w:val="PlainText"/>
        <w:numPr>
          <w:ilvl w:val="0"/>
          <w:numId w:val="6"/>
        </w:numPr>
        <w:tabs>
          <w:tab w:val="left" w:pos="3510"/>
          <w:tab w:val="left" w:pos="5778"/>
        </w:tabs>
        <w:jc w:val="both"/>
        <w:rPr>
          <w:rFonts w:ascii="Humnst777 BT" w:hAnsi="Humnst777 BT"/>
          <w:sz w:val="22"/>
          <w:szCs w:val="22"/>
        </w:rPr>
      </w:pPr>
      <w:r>
        <w:rPr>
          <w:rFonts w:ascii="Humnst777 BT" w:hAnsi="Humnst777 BT"/>
          <w:sz w:val="22"/>
          <w:szCs w:val="22"/>
        </w:rPr>
        <w:t>Part 2</w:t>
      </w:r>
      <w:r w:rsidR="00AC11D6">
        <w:rPr>
          <w:rFonts w:ascii="Humnst777 BT" w:hAnsi="Humnst777 BT"/>
          <w:sz w:val="22"/>
          <w:szCs w:val="22"/>
        </w:rPr>
        <w:t xml:space="preserve"> </w:t>
      </w:r>
      <w:r w:rsidR="00F80274">
        <w:rPr>
          <w:rFonts w:ascii="Humnst777 BT" w:hAnsi="Humnst777 BT"/>
          <w:sz w:val="22"/>
          <w:szCs w:val="22"/>
        </w:rPr>
        <w:t xml:space="preserve">contains </w:t>
      </w:r>
      <w:r w:rsidR="00F80274" w:rsidRPr="00615886">
        <w:rPr>
          <w:rFonts w:ascii="Humnst777 BT" w:hAnsi="Humnst777 BT"/>
          <w:sz w:val="22"/>
          <w:szCs w:val="22"/>
        </w:rPr>
        <w:t>definitions</w:t>
      </w:r>
      <w:r w:rsidR="00F80274">
        <w:rPr>
          <w:rFonts w:ascii="Humnst777 BT" w:hAnsi="Humnst777 BT"/>
          <w:sz w:val="22"/>
          <w:szCs w:val="22"/>
        </w:rPr>
        <w:t xml:space="preserve"> that will be relevant to the business of </w:t>
      </w:r>
      <w:r w:rsidR="006C0872">
        <w:rPr>
          <w:rFonts w:ascii="Humnst777 BT" w:hAnsi="Humnst777 BT"/>
          <w:sz w:val="22"/>
          <w:szCs w:val="22"/>
        </w:rPr>
        <w:t xml:space="preserve">programme </w:t>
      </w:r>
      <w:r w:rsidR="00F80274">
        <w:rPr>
          <w:rFonts w:ascii="Humnst777 BT" w:hAnsi="Humnst777 BT"/>
          <w:sz w:val="22"/>
          <w:szCs w:val="22"/>
        </w:rPr>
        <w:t>validation</w:t>
      </w:r>
      <w:r w:rsidR="00973777">
        <w:rPr>
          <w:rFonts w:ascii="Humnst777 BT" w:hAnsi="Humnst777 BT"/>
          <w:sz w:val="22"/>
          <w:szCs w:val="22"/>
        </w:rPr>
        <w:t>, partner approval</w:t>
      </w:r>
      <w:r w:rsidR="006C0872">
        <w:rPr>
          <w:rFonts w:ascii="Humnst777 BT" w:hAnsi="Humnst777 BT"/>
          <w:sz w:val="22"/>
          <w:szCs w:val="22"/>
        </w:rPr>
        <w:t xml:space="preserve"> and </w:t>
      </w:r>
      <w:r w:rsidR="00973777">
        <w:rPr>
          <w:rFonts w:ascii="Humnst777 BT" w:hAnsi="Humnst777 BT"/>
          <w:sz w:val="22"/>
          <w:szCs w:val="22"/>
        </w:rPr>
        <w:t>periodic programme and partnership r</w:t>
      </w:r>
      <w:r w:rsidR="006C0872">
        <w:rPr>
          <w:rFonts w:ascii="Humnst777 BT" w:hAnsi="Humnst777 BT"/>
          <w:sz w:val="22"/>
          <w:szCs w:val="22"/>
        </w:rPr>
        <w:t>eview</w:t>
      </w:r>
      <w:r w:rsidR="00F80274">
        <w:rPr>
          <w:rFonts w:ascii="Humnst777 BT" w:hAnsi="Humnst777 BT"/>
          <w:sz w:val="22"/>
          <w:szCs w:val="22"/>
        </w:rPr>
        <w:t xml:space="preserve"> panels</w:t>
      </w:r>
    </w:p>
    <w:p w:rsidR="00613F74" w:rsidRPr="00613F74" w:rsidRDefault="0011771E" w:rsidP="00120327">
      <w:pPr>
        <w:pStyle w:val="PlainText"/>
        <w:numPr>
          <w:ilvl w:val="0"/>
          <w:numId w:val="6"/>
        </w:numPr>
        <w:tabs>
          <w:tab w:val="left" w:pos="3510"/>
          <w:tab w:val="left" w:pos="5778"/>
        </w:tabs>
        <w:jc w:val="both"/>
        <w:rPr>
          <w:rFonts w:ascii="Humnst777 BT" w:hAnsi="Humnst777 BT"/>
          <w:szCs w:val="22"/>
        </w:rPr>
      </w:pPr>
      <w:r>
        <w:rPr>
          <w:rFonts w:ascii="Humnst777 BT" w:hAnsi="Humnst777 BT"/>
          <w:sz w:val="22"/>
          <w:szCs w:val="22"/>
        </w:rPr>
        <w:t>Part 3</w:t>
      </w:r>
      <w:r w:rsidR="00D363E4" w:rsidRPr="00615886">
        <w:rPr>
          <w:rFonts w:ascii="Humnst777 BT" w:hAnsi="Humnst777 BT"/>
          <w:sz w:val="22"/>
          <w:szCs w:val="22"/>
        </w:rPr>
        <w:t xml:space="preserve"> </w:t>
      </w:r>
      <w:r w:rsidR="00615886" w:rsidRPr="00615886">
        <w:rPr>
          <w:rFonts w:ascii="Humnst777 BT" w:hAnsi="Humnst777 BT"/>
          <w:sz w:val="22"/>
          <w:szCs w:val="22"/>
        </w:rPr>
        <w:t>provides links</w:t>
      </w:r>
      <w:r w:rsidR="00D363E4" w:rsidRPr="00615886">
        <w:rPr>
          <w:rFonts w:ascii="Humnst777 BT" w:hAnsi="Humnst777 BT"/>
          <w:sz w:val="22"/>
          <w:szCs w:val="22"/>
        </w:rPr>
        <w:t xml:space="preserve"> </w:t>
      </w:r>
      <w:r w:rsidR="00F80274">
        <w:rPr>
          <w:rFonts w:ascii="Humnst777 BT" w:hAnsi="Humnst777 BT"/>
          <w:sz w:val="22"/>
          <w:szCs w:val="22"/>
        </w:rPr>
        <w:t>to</w:t>
      </w:r>
      <w:r w:rsidR="00F80274" w:rsidRPr="00615886">
        <w:rPr>
          <w:rFonts w:ascii="Humnst777 BT" w:hAnsi="Humnst777 BT"/>
          <w:sz w:val="22"/>
          <w:szCs w:val="22"/>
        </w:rPr>
        <w:t xml:space="preserve"> </w:t>
      </w:r>
      <w:r w:rsidR="00D363E4" w:rsidRPr="00615886">
        <w:rPr>
          <w:rFonts w:ascii="Humnst777 BT" w:hAnsi="Humnst777 BT"/>
          <w:sz w:val="22"/>
          <w:szCs w:val="22"/>
        </w:rPr>
        <w:t xml:space="preserve">strategies, policies and procedures </w:t>
      </w:r>
      <w:r w:rsidR="00F80274">
        <w:rPr>
          <w:rFonts w:ascii="Humnst777 BT" w:hAnsi="Humnst777 BT"/>
          <w:sz w:val="22"/>
          <w:szCs w:val="22"/>
        </w:rPr>
        <w:t>related to quality and standards and to the provision of services to students</w:t>
      </w:r>
      <w:r w:rsidR="007226B6">
        <w:rPr>
          <w:rFonts w:ascii="Humnst777 BT" w:hAnsi="Humnst777 BT"/>
          <w:sz w:val="22"/>
          <w:szCs w:val="22"/>
        </w:rPr>
        <w:t>.</w:t>
      </w:r>
    </w:p>
    <w:p w:rsidR="00AC11D6" w:rsidRPr="00DC6EF1" w:rsidRDefault="00AC11D6" w:rsidP="00120327">
      <w:pPr>
        <w:pStyle w:val="PlainText"/>
        <w:tabs>
          <w:tab w:val="left" w:pos="3510"/>
          <w:tab w:val="left" w:pos="5778"/>
        </w:tabs>
        <w:ind w:left="720"/>
        <w:jc w:val="both"/>
        <w:rPr>
          <w:rFonts w:ascii="Humnst777 BT" w:hAnsi="Humnst777 BT"/>
          <w:szCs w:val="22"/>
        </w:rPr>
      </w:pPr>
    </w:p>
    <w:p w:rsidR="00402FC2" w:rsidRDefault="00D363E4" w:rsidP="00120327">
      <w:pPr>
        <w:ind w:right="-43"/>
        <w:jc w:val="both"/>
        <w:rPr>
          <w:rFonts w:ascii="Humnst777 BT" w:hAnsi="Humnst777 BT"/>
        </w:rPr>
      </w:pPr>
      <w:r w:rsidRPr="00615886">
        <w:rPr>
          <w:rFonts w:ascii="Humnst777 BT" w:hAnsi="Humnst777 BT"/>
          <w:kern w:val="20"/>
        </w:rPr>
        <w:t xml:space="preserve">The </w:t>
      </w:r>
      <w:r w:rsidR="0011771E">
        <w:rPr>
          <w:rFonts w:ascii="Humnst777 BT" w:hAnsi="Humnst777 BT"/>
          <w:kern w:val="20"/>
        </w:rPr>
        <w:t>publication</w:t>
      </w:r>
      <w:r w:rsidRPr="00615886">
        <w:rPr>
          <w:rFonts w:ascii="Humnst777 BT" w:hAnsi="Humnst777 BT"/>
          <w:kern w:val="20"/>
        </w:rPr>
        <w:t xml:space="preserve"> has been prepared by the Quality and Standards Office (QSO) and</w:t>
      </w:r>
      <w:r w:rsidRPr="00615886">
        <w:rPr>
          <w:rFonts w:ascii="Humnst777 BT" w:hAnsi="Humnst777 BT"/>
        </w:rPr>
        <w:t xml:space="preserve"> is available on the QSO website</w:t>
      </w:r>
      <w:r w:rsidR="00402FC2">
        <w:rPr>
          <w:rFonts w:ascii="Humnst777 BT" w:hAnsi="Humnst777 BT"/>
        </w:rPr>
        <w:t>:</w:t>
      </w:r>
    </w:p>
    <w:p w:rsidR="00402FC2" w:rsidRPr="00402FC2" w:rsidRDefault="00402FC2" w:rsidP="00402FC2">
      <w:pPr>
        <w:pStyle w:val="PlainText"/>
        <w:numPr>
          <w:ilvl w:val="0"/>
          <w:numId w:val="6"/>
        </w:numPr>
        <w:tabs>
          <w:tab w:val="left" w:pos="3510"/>
          <w:tab w:val="left" w:pos="5778"/>
        </w:tabs>
        <w:jc w:val="both"/>
        <w:rPr>
          <w:rFonts w:ascii="Humnst777 BT" w:hAnsi="Humnst777 BT"/>
          <w:sz w:val="22"/>
          <w:szCs w:val="22"/>
        </w:rPr>
      </w:pPr>
      <w:hyperlink r:id="rId8" w:history="1">
        <w:r w:rsidRPr="00402FC2">
          <w:rPr>
            <w:rStyle w:val="Hyperlink"/>
            <w:rFonts w:ascii="Humnst777 BT" w:hAnsi="Humnst777 BT"/>
            <w:sz w:val="22"/>
            <w:szCs w:val="22"/>
          </w:rPr>
          <w:t>Programme Validation</w:t>
        </w:r>
      </w:hyperlink>
    </w:p>
    <w:p w:rsidR="00D363E4" w:rsidRPr="00402FC2" w:rsidRDefault="00402FC2" w:rsidP="00402FC2">
      <w:pPr>
        <w:pStyle w:val="PlainText"/>
        <w:numPr>
          <w:ilvl w:val="0"/>
          <w:numId w:val="6"/>
        </w:numPr>
        <w:tabs>
          <w:tab w:val="left" w:pos="3510"/>
          <w:tab w:val="left" w:pos="5778"/>
        </w:tabs>
        <w:jc w:val="both"/>
        <w:rPr>
          <w:rFonts w:ascii="Humnst777 BT" w:hAnsi="Humnst777 BT"/>
          <w:sz w:val="22"/>
          <w:szCs w:val="22"/>
        </w:rPr>
      </w:pPr>
      <w:hyperlink r:id="rId9" w:history="1">
        <w:r w:rsidRPr="00402FC2">
          <w:rPr>
            <w:rStyle w:val="Hyperlink"/>
            <w:rFonts w:ascii="Humnst777 BT" w:hAnsi="Humnst777 BT"/>
            <w:sz w:val="22"/>
            <w:szCs w:val="22"/>
          </w:rPr>
          <w:t>Periodic Programme Review</w:t>
        </w:r>
      </w:hyperlink>
    </w:p>
    <w:p w:rsidR="00D363E4" w:rsidRPr="00615886" w:rsidRDefault="00D363E4" w:rsidP="00D363E4">
      <w:pPr>
        <w:ind w:right="-43"/>
        <w:jc w:val="both"/>
        <w:rPr>
          <w:rFonts w:ascii="Humnst777 BT" w:hAnsi="Humnst777 BT"/>
          <w:i/>
        </w:rPr>
      </w:pPr>
    </w:p>
    <w:p w:rsidR="00D363E4" w:rsidRPr="00615886" w:rsidRDefault="00D363E4" w:rsidP="00D363E4">
      <w:pPr>
        <w:ind w:right="-43"/>
        <w:rPr>
          <w:rFonts w:ascii="Humnst777 BT" w:hAnsi="Humnst777 BT"/>
          <w:kern w:val="20"/>
        </w:rPr>
      </w:pPr>
    </w:p>
    <w:p w:rsidR="00D363E4" w:rsidRPr="00615886" w:rsidRDefault="00D363E4" w:rsidP="00D363E4">
      <w:pPr>
        <w:ind w:right="-43"/>
        <w:rPr>
          <w:rFonts w:ascii="Humnst777 BT" w:hAnsi="Humnst777 BT"/>
        </w:rPr>
      </w:pPr>
      <w:r w:rsidRPr="00615886">
        <w:rPr>
          <w:rFonts w:ascii="Humnst777 BT" w:hAnsi="Humnst777 BT"/>
        </w:rPr>
        <w:t>Dr Christopher Stevens</w:t>
      </w:r>
    </w:p>
    <w:p w:rsidR="00D363E4" w:rsidRPr="00615886" w:rsidRDefault="00D363E4" w:rsidP="00D363E4">
      <w:pPr>
        <w:ind w:right="-43"/>
        <w:rPr>
          <w:rFonts w:ascii="Humnst777 BT" w:hAnsi="Humnst777 BT"/>
          <w:b/>
        </w:rPr>
      </w:pPr>
      <w:r w:rsidRPr="00615886">
        <w:rPr>
          <w:rFonts w:ascii="Humnst777 BT" w:hAnsi="Humnst777 BT"/>
        </w:rPr>
        <w:t>Director of Quality and Standards</w:t>
      </w:r>
    </w:p>
    <w:p w:rsidR="00615886" w:rsidRDefault="00615886">
      <w:pPr>
        <w:spacing w:after="200" w:line="276" w:lineRule="auto"/>
        <w:rPr>
          <w:b/>
        </w:rPr>
      </w:pPr>
      <w:r>
        <w:rPr>
          <w:b/>
        </w:rPr>
        <w:br w:type="page"/>
      </w:r>
    </w:p>
    <w:p w:rsidR="00F80274" w:rsidRPr="00D3169A" w:rsidRDefault="007273A0" w:rsidP="00F80274">
      <w:pPr>
        <w:pStyle w:val="Heading2"/>
      </w:pPr>
      <w:r>
        <w:lastRenderedPageBreak/>
        <w:t>1</w:t>
      </w:r>
      <w:r w:rsidR="00F80274" w:rsidRPr="00D3169A">
        <w:t xml:space="preserve"> </w:t>
      </w:r>
      <w:r w:rsidR="00237373">
        <w:tab/>
      </w:r>
      <w:r w:rsidR="00F80274" w:rsidRPr="00D3169A">
        <w:t>An I</w:t>
      </w:r>
      <w:r w:rsidR="00F80274">
        <w:t>ntroduction to the University</w:t>
      </w:r>
    </w:p>
    <w:p w:rsidR="00F80274" w:rsidRPr="007B2777" w:rsidRDefault="00F80274" w:rsidP="00F80274">
      <w:pPr>
        <w:rPr>
          <w:rFonts w:ascii="Humnst777 BT" w:hAnsi="Humnst777 BT"/>
        </w:rPr>
      </w:pPr>
    </w:p>
    <w:p w:rsidR="00F80274" w:rsidRPr="007B2777" w:rsidRDefault="00F80274" w:rsidP="00F80274">
      <w:pPr>
        <w:jc w:val="both"/>
        <w:rPr>
          <w:rFonts w:ascii="Humnst777 BT" w:hAnsi="Humnst777 BT"/>
        </w:rPr>
      </w:pPr>
      <w:r w:rsidRPr="007B2777">
        <w:rPr>
          <w:rFonts w:ascii="Humnst777 BT" w:hAnsi="Humnst777 BT"/>
        </w:rPr>
        <w:t xml:space="preserve">Canterbury Christ Church University was established as Christ Church College by the Church of England in 1962.  In </w:t>
      </w:r>
      <w:r w:rsidR="006C0872" w:rsidRPr="007B2777">
        <w:rPr>
          <w:rFonts w:ascii="Humnst777 BT" w:hAnsi="Humnst777 BT"/>
        </w:rPr>
        <w:t>20</w:t>
      </w:r>
      <w:r w:rsidR="006C0872">
        <w:rPr>
          <w:rFonts w:ascii="Humnst777 BT" w:hAnsi="Humnst777 BT"/>
        </w:rPr>
        <w:t>13</w:t>
      </w:r>
      <w:r w:rsidR="00E5641E">
        <w:rPr>
          <w:rFonts w:ascii="Humnst777 BT" w:hAnsi="Humnst777 BT"/>
        </w:rPr>
        <w:t>-1</w:t>
      </w:r>
      <w:r w:rsidR="006C0872">
        <w:rPr>
          <w:rFonts w:ascii="Humnst777 BT" w:hAnsi="Humnst777 BT"/>
        </w:rPr>
        <w:t>4</w:t>
      </w:r>
      <w:r w:rsidRPr="007B2777">
        <w:rPr>
          <w:rFonts w:ascii="Humnst777 BT" w:hAnsi="Humnst777 BT"/>
        </w:rPr>
        <w:t xml:space="preserve"> there were 1</w:t>
      </w:r>
      <w:r w:rsidR="00E5641E">
        <w:rPr>
          <w:rFonts w:ascii="Humnst777 BT" w:hAnsi="Humnst777 BT"/>
        </w:rPr>
        <w:t>7</w:t>
      </w:r>
      <w:r w:rsidR="006C0872">
        <w:rPr>
          <w:rFonts w:ascii="Humnst777 BT" w:hAnsi="Humnst777 BT"/>
        </w:rPr>
        <w:t>,426</w:t>
      </w:r>
      <w:r w:rsidR="00E5641E" w:rsidRPr="007B2777">
        <w:rPr>
          <w:rFonts w:ascii="Humnst777 BT" w:hAnsi="Humnst777 BT"/>
        </w:rPr>
        <w:t xml:space="preserve"> </w:t>
      </w:r>
      <w:r w:rsidRPr="007B2777">
        <w:rPr>
          <w:rFonts w:ascii="Humnst777 BT" w:hAnsi="Humnst777 BT"/>
        </w:rPr>
        <w:t xml:space="preserve">students enrolled at the University, </w:t>
      </w:r>
      <w:r w:rsidR="006C0872">
        <w:rPr>
          <w:rFonts w:ascii="Humnst777 BT" w:hAnsi="Humnst777 BT"/>
        </w:rPr>
        <w:t>11,849</w:t>
      </w:r>
      <w:r w:rsidR="00E5641E" w:rsidRPr="007B2777">
        <w:rPr>
          <w:rFonts w:ascii="Humnst777 BT" w:hAnsi="Humnst777 BT"/>
        </w:rPr>
        <w:t xml:space="preserve"> </w:t>
      </w:r>
      <w:r w:rsidRPr="007B2777">
        <w:rPr>
          <w:rFonts w:ascii="Humnst777 BT" w:hAnsi="Humnst777 BT"/>
        </w:rPr>
        <w:t xml:space="preserve">of whom were full time and </w:t>
      </w:r>
      <w:r w:rsidR="006C0872">
        <w:rPr>
          <w:rFonts w:ascii="Humnst777 BT" w:hAnsi="Humnst777 BT"/>
        </w:rPr>
        <w:t>5,576</w:t>
      </w:r>
      <w:r w:rsidR="00E5641E" w:rsidRPr="007B2777">
        <w:rPr>
          <w:rFonts w:ascii="Humnst777 BT" w:hAnsi="Humnst777 BT"/>
        </w:rPr>
        <w:t xml:space="preserve"> </w:t>
      </w:r>
      <w:r w:rsidRPr="007B2777">
        <w:rPr>
          <w:rFonts w:ascii="Humnst777 BT" w:hAnsi="Humnst777 BT"/>
        </w:rPr>
        <w:t xml:space="preserve">of whom were part-time.  A large proportion of </w:t>
      </w:r>
      <w:r w:rsidR="00E5641E">
        <w:rPr>
          <w:rFonts w:ascii="Humnst777 BT" w:hAnsi="Humnst777 BT"/>
        </w:rPr>
        <w:t>these</w:t>
      </w:r>
      <w:r w:rsidR="00E5641E" w:rsidRPr="007B2777">
        <w:rPr>
          <w:rFonts w:ascii="Humnst777 BT" w:hAnsi="Humnst777 BT"/>
        </w:rPr>
        <w:t xml:space="preserve"> </w:t>
      </w:r>
      <w:r w:rsidRPr="007B2777">
        <w:rPr>
          <w:rFonts w:ascii="Humnst777 BT" w:hAnsi="Humnst777 BT"/>
        </w:rPr>
        <w:t>students are residents of Kent.  In 1995 the University was granted powers by the Privy Council to award its own taught degrees and in 2005 it was granted University Title. In 2009 the Privy Council granted the University the power to award its own research degrees.</w:t>
      </w:r>
    </w:p>
    <w:p w:rsidR="00F80274" w:rsidRPr="007B2777" w:rsidRDefault="00F80274" w:rsidP="00F80274">
      <w:pPr>
        <w:jc w:val="both"/>
        <w:rPr>
          <w:rFonts w:ascii="Humnst777 BT" w:hAnsi="Humnst777 BT"/>
        </w:rPr>
      </w:pPr>
    </w:p>
    <w:p w:rsidR="00F80274" w:rsidRPr="007B2777" w:rsidRDefault="00F80274" w:rsidP="00F80274">
      <w:pPr>
        <w:jc w:val="both"/>
        <w:rPr>
          <w:rFonts w:ascii="Humnst777 BT" w:hAnsi="Humnst777 BT"/>
        </w:rPr>
      </w:pPr>
      <w:r w:rsidRPr="007B2777">
        <w:rPr>
          <w:rFonts w:ascii="Humnst777 BT" w:hAnsi="Humnst777 BT"/>
        </w:rPr>
        <w:t>The University is based on f</w:t>
      </w:r>
      <w:r w:rsidR="006C0872">
        <w:rPr>
          <w:rFonts w:ascii="Humnst777 BT" w:hAnsi="Humnst777 BT"/>
        </w:rPr>
        <w:t xml:space="preserve">our </w:t>
      </w:r>
      <w:r w:rsidRPr="007B2777">
        <w:rPr>
          <w:rFonts w:ascii="Humnst777 BT" w:hAnsi="Humnst777 BT"/>
        </w:rPr>
        <w:t xml:space="preserve">Campuses at Canterbury, </w:t>
      </w:r>
      <w:proofErr w:type="spellStart"/>
      <w:r w:rsidRPr="007B2777">
        <w:rPr>
          <w:rFonts w:ascii="Humnst777 BT" w:hAnsi="Humnst777 BT"/>
        </w:rPr>
        <w:t>Broadstairs</w:t>
      </w:r>
      <w:proofErr w:type="spellEnd"/>
      <w:r w:rsidRPr="007B2777">
        <w:rPr>
          <w:rFonts w:ascii="Humnst777 BT" w:hAnsi="Humnst777 BT"/>
        </w:rPr>
        <w:t>, Chatham (Medway), and Tunbridge Wells</w:t>
      </w:r>
      <w:r w:rsidR="00402FC2">
        <w:rPr>
          <w:rFonts w:ascii="Humnst777 BT" w:hAnsi="Humnst777 BT"/>
        </w:rPr>
        <w:t xml:space="preserve"> (</w:t>
      </w:r>
      <w:proofErr w:type="spellStart"/>
      <w:r w:rsidR="00402FC2">
        <w:rPr>
          <w:rFonts w:ascii="Humnst777 BT" w:hAnsi="Humnst777 BT"/>
        </w:rPr>
        <w:t>Salomons</w:t>
      </w:r>
      <w:proofErr w:type="spellEnd"/>
      <w:r w:rsidR="00402FC2">
        <w:rPr>
          <w:rFonts w:ascii="Humnst777 BT" w:hAnsi="Humnst777 BT"/>
        </w:rPr>
        <w:t>).</w:t>
      </w:r>
    </w:p>
    <w:p w:rsidR="00F80274" w:rsidRPr="007B2777" w:rsidRDefault="00F80274" w:rsidP="00F80274">
      <w:pPr>
        <w:jc w:val="both"/>
        <w:rPr>
          <w:rFonts w:ascii="Humnst777 BT" w:hAnsi="Humnst777 BT"/>
        </w:rPr>
      </w:pPr>
    </w:p>
    <w:p w:rsidR="00F80274" w:rsidRPr="007B2777" w:rsidRDefault="00F80274" w:rsidP="00F80274">
      <w:pPr>
        <w:jc w:val="both"/>
        <w:rPr>
          <w:rFonts w:ascii="Humnst777 BT" w:hAnsi="Humnst777 BT"/>
        </w:rPr>
      </w:pPr>
      <w:r w:rsidRPr="007B2777">
        <w:rPr>
          <w:rFonts w:ascii="Humnst777 BT" w:hAnsi="Humnst777 BT"/>
        </w:rPr>
        <w:t xml:space="preserve">Teaching and research work is established in </w:t>
      </w:r>
      <w:r w:rsidR="00E5641E">
        <w:rPr>
          <w:rFonts w:ascii="Humnst777 BT" w:hAnsi="Humnst777 BT"/>
        </w:rPr>
        <w:t xml:space="preserve">academic </w:t>
      </w:r>
      <w:r w:rsidR="006C0872">
        <w:rPr>
          <w:rFonts w:ascii="Humnst777 BT" w:hAnsi="Humnst777 BT"/>
        </w:rPr>
        <w:t>schools, centres and institutes</w:t>
      </w:r>
      <w:r w:rsidR="00E5641E">
        <w:rPr>
          <w:rFonts w:ascii="Humnst777 BT" w:hAnsi="Humnst777 BT"/>
        </w:rPr>
        <w:t xml:space="preserve">, which </w:t>
      </w:r>
      <w:r w:rsidR="006C0872">
        <w:rPr>
          <w:rFonts w:ascii="Humnst777 BT" w:hAnsi="Humnst777 BT"/>
        </w:rPr>
        <w:t>are</w:t>
      </w:r>
      <w:r w:rsidR="00E5641E">
        <w:rPr>
          <w:rFonts w:ascii="Humnst777 BT" w:hAnsi="Humnst777 BT"/>
        </w:rPr>
        <w:t xml:space="preserve"> divided into four faculties</w:t>
      </w:r>
      <w:r w:rsidR="006C0872">
        <w:rPr>
          <w:rFonts w:ascii="Humnst777 BT" w:hAnsi="Humnst777 BT"/>
        </w:rPr>
        <w:t xml:space="preserve"> as follows</w:t>
      </w:r>
      <w:r w:rsidRPr="007B2777">
        <w:rPr>
          <w:rFonts w:ascii="Humnst777 BT" w:hAnsi="Humnst777 BT"/>
        </w:rPr>
        <w:t>:</w:t>
      </w:r>
    </w:p>
    <w:p w:rsidR="00F80274" w:rsidRPr="007B2777" w:rsidRDefault="00F80274" w:rsidP="00F80274">
      <w:pPr>
        <w:jc w:val="both"/>
        <w:rPr>
          <w:rFonts w:ascii="Humnst777 BT" w:hAnsi="Humnst777 BT"/>
        </w:rPr>
      </w:pPr>
    </w:p>
    <w:p w:rsidR="00F80274" w:rsidRPr="007B2777" w:rsidRDefault="00F80274" w:rsidP="00F80274">
      <w:pPr>
        <w:rPr>
          <w:rFonts w:ascii="Humnst777 BT" w:hAnsi="Humnst777 BT"/>
          <w:b/>
        </w:rPr>
      </w:pPr>
      <w:r w:rsidRPr="007B2777">
        <w:rPr>
          <w:rFonts w:ascii="Humnst777 BT" w:hAnsi="Humnst777 BT"/>
          <w:b/>
        </w:rPr>
        <w:t>Faculty of Arts and Humanities</w:t>
      </w:r>
    </w:p>
    <w:p w:rsidR="00F80274" w:rsidRDefault="006C0872" w:rsidP="00F80274">
      <w:pPr>
        <w:jc w:val="both"/>
        <w:rPr>
          <w:rFonts w:ascii="Humnst777 BT" w:hAnsi="Humnst777 BT"/>
        </w:rPr>
      </w:pPr>
      <w:r>
        <w:rPr>
          <w:rFonts w:ascii="Humnst777 BT" w:hAnsi="Humnst777 BT"/>
        </w:rPr>
        <w:t>School of Humanities</w:t>
      </w:r>
      <w:r w:rsidR="00F4570C">
        <w:rPr>
          <w:rFonts w:ascii="Humnst777 BT" w:hAnsi="Humnst777 BT"/>
        </w:rPr>
        <w:t xml:space="preserve"> (includes the International Centre for Victorian Women Writers and the Centre for Research, Kent History and Archaeology)</w:t>
      </w:r>
    </w:p>
    <w:p w:rsidR="006C0872" w:rsidRDefault="00003C94" w:rsidP="00F80274">
      <w:pPr>
        <w:jc w:val="both"/>
        <w:rPr>
          <w:rFonts w:ascii="Humnst777 BT" w:hAnsi="Humnst777 BT"/>
        </w:rPr>
      </w:pPr>
      <w:r>
        <w:rPr>
          <w:rFonts w:ascii="Humnst777 BT" w:hAnsi="Humnst777 BT"/>
        </w:rPr>
        <w:t>School of</w:t>
      </w:r>
      <w:r w:rsidR="006C0872">
        <w:rPr>
          <w:rFonts w:ascii="Humnst777 BT" w:hAnsi="Humnst777 BT"/>
        </w:rPr>
        <w:t xml:space="preserve"> Language Studies and Applied Linguistics</w:t>
      </w:r>
    </w:p>
    <w:p w:rsidR="006C0872" w:rsidRDefault="006C0872" w:rsidP="00F80274">
      <w:pPr>
        <w:jc w:val="both"/>
        <w:rPr>
          <w:rFonts w:ascii="Humnst777 BT" w:hAnsi="Humnst777 BT"/>
        </w:rPr>
      </w:pPr>
      <w:r>
        <w:rPr>
          <w:rFonts w:ascii="Humnst777 BT" w:hAnsi="Humnst777 BT"/>
        </w:rPr>
        <w:t>School of Music and Performing Arts</w:t>
      </w:r>
    </w:p>
    <w:p w:rsidR="006C0872" w:rsidRDefault="006C0872" w:rsidP="00F80274">
      <w:pPr>
        <w:jc w:val="both"/>
        <w:rPr>
          <w:rFonts w:ascii="Humnst777 BT" w:hAnsi="Humnst777 BT"/>
        </w:rPr>
      </w:pPr>
      <w:r>
        <w:rPr>
          <w:rFonts w:ascii="Humnst777 BT" w:hAnsi="Humnst777 BT"/>
        </w:rPr>
        <w:t>School of Media, Art and Design</w:t>
      </w:r>
    </w:p>
    <w:p w:rsidR="006C0872" w:rsidRDefault="006C0872" w:rsidP="00F80274">
      <w:pPr>
        <w:jc w:val="both"/>
        <w:rPr>
          <w:rFonts w:ascii="Humnst777 BT" w:hAnsi="Humnst777 BT"/>
        </w:rPr>
      </w:pPr>
      <w:r>
        <w:rPr>
          <w:rFonts w:ascii="Humnst777 BT" w:hAnsi="Humnst777 BT"/>
        </w:rPr>
        <w:t xml:space="preserve">Sidney de </w:t>
      </w:r>
      <w:proofErr w:type="spellStart"/>
      <w:r>
        <w:rPr>
          <w:rFonts w:ascii="Humnst777 BT" w:hAnsi="Humnst777 BT"/>
        </w:rPr>
        <w:t>Haan</w:t>
      </w:r>
      <w:proofErr w:type="spellEnd"/>
      <w:r>
        <w:rPr>
          <w:rFonts w:ascii="Humnst777 BT" w:hAnsi="Humnst777 BT"/>
        </w:rPr>
        <w:t xml:space="preserve"> Research Centre for Arts and Health</w:t>
      </w:r>
    </w:p>
    <w:p w:rsidR="006C0872" w:rsidRPr="007B2777" w:rsidRDefault="006C0872" w:rsidP="00F80274">
      <w:pPr>
        <w:jc w:val="both"/>
        <w:rPr>
          <w:rFonts w:ascii="Humnst777 BT" w:hAnsi="Humnst777 BT"/>
        </w:rPr>
      </w:pPr>
      <w:r>
        <w:rPr>
          <w:rFonts w:ascii="Humnst777 BT" w:hAnsi="Humnst777 BT"/>
        </w:rPr>
        <w:t>Centre for Practice-based Research in the Arts</w:t>
      </w:r>
    </w:p>
    <w:p w:rsidR="00F80274" w:rsidRPr="007B2777" w:rsidRDefault="00F80274" w:rsidP="00F80274">
      <w:pPr>
        <w:jc w:val="both"/>
        <w:rPr>
          <w:rFonts w:ascii="Humnst777 BT" w:hAnsi="Humnst777 BT"/>
        </w:rPr>
      </w:pPr>
    </w:p>
    <w:p w:rsidR="00F80274" w:rsidRPr="007B2777" w:rsidRDefault="00F80274" w:rsidP="00F80274">
      <w:pPr>
        <w:rPr>
          <w:rFonts w:ascii="Humnst777 BT" w:hAnsi="Humnst777 BT"/>
          <w:b/>
        </w:rPr>
      </w:pPr>
      <w:r w:rsidRPr="007B2777">
        <w:rPr>
          <w:rFonts w:ascii="Humnst777 BT" w:hAnsi="Humnst777 BT"/>
          <w:b/>
        </w:rPr>
        <w:t>Faculty of Education</w:t>
      </w:r>
    </w:p>
    <w:p w:rsidR="00F80274" w:rsidRPr="007B2777" w:rsidRDefault="006C0872" w:rsidP="00F80274">
      <w:pPr>
        <w:jc w:val="both"/>
        <w:rPr>
          <w:rFonts w:ascii="Humnst777 BT" w:hAnsi="Humnst777 BT"/>
        </w:rPr>
      </w:pPr>
      <w:r>
        <w:rPr>
          <w:rFonts w:ascii="Humnst777 BT" w:hAnsi="Humnst777 BT"/>
        </w:rPr>
        <w:t xml:space="preserve">School of </w:t>
      </w:r>
      <w:r w:rsidR="00F80274" w:rsidRPr="007B2777">
        <w:rPr>
          <w:rFonts w:ascii="Humnst777 BT" w:hAnsi="Humnst777 BT"/>
        </w:rPr>
        <w:t xml:space="preserve">Childhood </w:t>
      </w:r>
      <w:r>
        <w:rPr>
          <w:rFonts w:ascii="Humnst777 BT" w:hAnsi="Humnst777 BT"/>
        </w:rPr>
        <w:t>and Education Sciences</w:t>
      </w:r>
      <w:r w:rsidR="00F4570C">
        <w:rPr>
          <w:rFonts w:ascii="Humnst777 BT" w:hAnsi="Humnst777 BT"/>
        </w:rPr>
        <w:t xml:space="preserve"> (includes the Centre for Career and Personal Development)</w:t>
      </w:r>
    </w:p>
    <w:p w:rsidR="006C0872" w:rsidRDefault="006C0872" w:rsidP="00F80274">
      <w:pPr>
        <w:jc w:val="both"/>
        <w:rPr>
          <w:rFonts w:ascii="Humnst777 BT" w:hAnsi="Humnst777 BT"/>
        </w:rPr>
      </w:pPr>
      <w:r>
        <w:rPr>
          <w:rFonts w:ascii="Humnst777 BT" w:hAnsi="Humnst777 BT"/>
        </w:rPr>
        <w:t>School of Teacher Education and Development</w:t>
      </w:r>
      <w:r w:rsidR="00F4570C">
        <w:rPr>
          <w:rFonts w:ascii="Humnst777 BT" w:hAnsi="Humnst777 BT"/>
        </w:rPr>
        <w:t xml:space="preserve"> (includes the National Institute for Christian Education Research)</w:t>
      </w:r>
    </w:p>
    <w:p w:rsidR="006C0872" w:rsidRPr="007B2777" w:rsidRDefault="006C0872" w:rsidP="00F80274">
      <w:pPr>
        <w:jc w:val="both"/>
        <w:rPr>
          <w:rFonts w:ascii="Humnst777 BT" w:hAnsi="Humnst777 BT"/>
        </w:rPr>
      </w:pPr>
      <w:r>
        <w:rPr>
          <w:rFonts w:ascii="Humnst777 BT" w:hAnsi="Humnst777 BT"/>
        </w:rPr>
        <w:t>Research Centre for Children, Families and Communities</w:t>
      </w:r>
    </w:p>
    <w:p w:rsidR="00F80274" w:rsidRPr="007B2777" w:rsidRDefault="00F80274" w:rsidP="00F80274">
      <w:pPr>
        <w:jc w:val="both"/>
        <w:rPr>
          <w:rFonts w:ascii="Humnst777 BT" w:hAnsi="Humnst777 BT"/>
        </w:rPr>
      </w:pPr>
    </w:p>
    <w:p w:rsidR="00F80274" w:rsidRPr="007B2777" w:rsidRDefault="00F80274" w:rsidP="00F80274">
      <w:pPr>
        <w:rPr>
          <w:rFonts w:ascii="Humnst777 BT" w:hAnsi="Humnst777 BT"/>
          <w:b/>
        </w:rPr>
      </w:pPr>
      <w:r w:rsidRPr="007B2777">
        <w:rPr>
          <w:rFonts w:ascii="Humnst777 BT" w:hAnsi="Humnst777 BT"/>
          <w:b/>
        </w:rPr>
        <w:t xml:space="preserve">Faculty of Health and </w:t>
      </w:r>
      <w:r w:rsidR="006C0872">
        <w:rPr>
          <w:rFonts w:ascii="Humnst777 BT" w:hAnsi="Humnst777 BT"/>
          <w:b/>
        </w:rPr>
        <w:t>Wellbeing</w:t>
      </w:r>
    </w:p>
    <w:p w:rsidR="006C0872" w:rsidRDefault="006C0872" w:rsidP="00F80274">
      <w:pPr>
        <w:jc w:val="both"/>
        <w:rPr>
          <w:rFonts w:ascii="Humnst777 BT" w:hAnsi="Humnst777 BT"/>
        </w:rPr>
      </w:pPr>
      <w:r>
        <w:rPr>
          <w:rFonts w:ascii="Humnst777 BT" w:hAnsi="Humnst777 BT"/>
        </w:rPr>
        <w:t>School of Nursing</w:t>
      </w:r>
    </w:p>
    <w:p w:rsidR="00F80274" w:rsidRPr="007B2777" w:rsidRDefault="006C0872" w:rsidP="00F80274">
      <w:pPr>
        <w:jc w:val="both"/>
        <w:rPr>
          <w:rFonts w:ascii="Humnst777 BT" w:hAnsi="Humnst777 BT"/>
        </w:rPr>
      </w:pPr>
      <w:r>
        <w:rPr>
          <w:rFonts w:ascii="Humnst777 BT" w:hAnsi="Humnst777 BT"/>
        </w:rPr>
        <w:t xml:space="preserve">School of </w:t>
      </w:r>
      <w:r w:rsidR="00F80274" w:rsidRPr="007B2777">
        <w:rPr>
          <w:rFonts w:ascii="Humnst777 BT" w:hAnsi="Humnst777 BT"/>
        </w:rPr>
        <w:t>Allied Health Professions</w:t>
      </w:r>
    </w:p>
    <w:p w:rsidR="00F80274" w:rsidRPr="007B2777" w:rsidRDefault="006C0872" w:rsidP="00F80274">
      <w:pPr>
        <w:jc w:val="both"/>
        <w:rPr>
          <w:rFonts w:ascii="Humnst777 BT" w:hAnsi="Humnst777 BT"/>
        </w:rPr>
      </w:pPr>
      <w:r>
        <w:rPr>
          <w:rFonts w:ascii="Humnst777 BT" w:hAnsi="Humnst777 BT"/>
        </w:rPr>
        <w:t xml:space="preserve">School of Public </w:t>
      </w:r>
      <w:r w:rsidR="00F80274" w:rsidRPr="007B2777">
        <w:rPr>
          <w:rFonts w:ascii="Humnst777 BT" w:hAnsi="Humnst777 BT"/>
        </w:rPr>
        <w:t xml:space="preserve">Health, </w:t>
      </w:r>
      <w:r>
        <w:rPr>
          <w:rFonts w:ascii="Humnst777 BT" w:hAnsi="Humnst777 BT"/>
        </w:rPr>
        <w:t>Midwifery and Social Work</w:t>
      </w:r>
    </w:p>
    <w:p w:rsidR="00F80274" w:rsidRDefault="006C0872" w:rsidP="00F80274">
      <w:pPr>
        <w:jc w:val="both"/>
        <w:rPr>
          <w:rFonts w:ascii="Humnst777 BT" w:hAnsi="Humnst777 BT"/>
        </w:rPr>
      </w:pPr>
      <w:r>
        <w:rPr>
          <w:rFonts w:ascii="Humnst777 BT" w:hAnsi="Humnst777 BT"/>
        </w:rPr>
        <w:t>Centre for Work-based Learning and Continuing Development</w:t>
      </w:r>
    </w:p>
    <w:p w:rsidR="006C0872" w:rsidRDefault="006C0872" w:rsidP="00F80274">
      <w:pPr>
        <w:jc w:val="both"/>
        <w:rPr>
          <w:rFonts w:ascii="Humnst777 BT" w:hAnsi="Humnst777 BT"/>
        </w:rPr>
      </w:pPr>
      <w:r>
        <w:rPr>
          <w:rFonts w:ascii="Humnst777 BT" w:hAnsi="Humnst777 BT"/>
        </w:rPr>
        <w:t>England Centre for Practice Development</w:t>
      </w:r>
    </w:p>
    <w:p w:rsidR="006C0872" w:rsidRDefault="006C0872" w:rsidP="00F80274">
      <w:pPr>
        <w:jc w:val="both"/>
        <w:rPr>
          <w:rFonts w:ascii="Humnst777 BT" w:hAnsi="Humnst777 BT"/>
        </w:rPr>
      </w:pPr>
      <w:r>
        <w:rPr>
          <w:rFonts w:ascii="Humnst777 BT" w:hAnsi="Humnst777 BT"/>
        </w:rPr>
        <w:t>Institute of Medical Sciences</w:t>
      </w:r>
    </w:p>
    <w:p w:rsidR="006C0872" w:rsidRDefault="006C0872" w:rsidP="006C0872">
      <w:pPr>
        <w:jc w:val="both"/>
        <w:rPr>
          <w:rFonts w:ascii="Humnst777 BT" w:hAnsi="Humnst777 BT"/>
        </w:rPr>
      </w:pPr>
      <w:r>
        <w:rPr>
          <w:rFonts w:ascii="Humnst777 BT" w:hAnsi="Humnst777 BT"/>
        </w:rPr>
        <w:t xml:space="preserve">Sidney de </w:t>
      </w:r>
      <w:proofErr w:type="spellStart"/>
      <w:r>
        <w:rPr>
          <w:rFonts w:ascii="Humnst777 BT" w:hAnsi="Humnst777 BT"/>
        </w:rPr>
        <w:t>Haan</w:t>
      </w:r>
      <w:proofErr w:type="spellEnd"/>
      <w:r>
        <w:rPr>
          <w:rFonts w:ascii="Humnst777 BT" w:hAnsi="Humnst777 BT"/>
        </w:rPr>
        <w:t xml:space="preserve"> Research Centre for Arts and Health</w:t>
      </w:r>
    </w:p>
    <w:p w:rsidR="006C0872" w:rsidRDefault="006C0872" w:rsidP="006C0872">
      <w:pPr>
        <w:jc w:val="both"/>
        <w:rPr>
          <w:rFonts w:ascii="Humnst777 BT" w:hAnsi="Humnst777 BT"/>
        </w:rPr>
      </w:pPr>
      <w:r>
        <w:rPr>
          <w:rFonts w:ascii="Humnst777 BT" w:hAnsi="Humnst777 BT"/>
        </w:rPr>
        <w:t>Research Centre for Children, Families and Communities</w:t>
      </w:r>
    </w:p>
    <w:p w:rsidR="006C0872" w:rsidRPr="007B2777" w:rsidRDefault="006C0872" w:rsidP="006C0872">
      <w:pPr>
        <w:jc w:val="both"/>
        <w:rPr>
          <w:rFonts w:ascii="Humnst777 BT" w:hAnsi="Humnst777 BT"/>
        </w:rPr>
      </w:pPr>
      <w:r>
        <w:rPr>
          <w:rFonts w:ascii="Humnst777 BT" w:hAnsi="Humnst777 BT"/>
        </w:rPr>
        <w:t>Practice Learning Unit</w:t>
      </w:r>
    </w:p>
    <w:p w:rsidR="00F80274" w:rsidRPr="007B2777" w:rsidRDefault="00F80274" w:rsidP="00F80274">
      <w:pPr>
        <w:jc w:val="both"/>
        <w:rPr>
          <w:rFonts w:ascii="Humnst777 BT" w:hAnsi="Humnst777 BT"/>
        </w:rPr>
      </w:pPr>
    </w:p>
    <w:p w:rsidR="00F80274" w:rsidRPr="007B2777" w:rsidRDefault="00F80274" w:rsidP="00F80274">
      <w:pPr>
        <w:jc w:val="both"/>
        <w:rPr>
          <w:rFonts w:ascii="Humnst777 BT" w:hAnsi="Humnst777 BT"/>
          <w:b/>
          <w:bCs/>
        </w:rPr>
      </w:pPr>
      <w:r w:rsidRPr="007B2777">
        <w:rPr>
          <w:rFonts w:ascii="Humnst777 BT" w:hAnsi="Humnst777 BT"/>
          <w:b/>
          <w:bCs/>
        </w:rPr>
        <w:t>Faculty of Social and Applied Sciences</w:t>
      </w:r>
    </w:p>
    <w:p w:rsidR="00F80274" w:rsidRPr="007B2777" w:rsidRDefault="006C0872" w:rsidP="00F80274">
      <w:pPr>
        <w:jc w:val="both"/>
        <w:rPr>
          <w:rFonts w:ascii="Humnst777 BT" w:hAnsi="Humnst777 BT"/>
        </w:rPr>
      </w:pPr>
      <w:r>
        <w:rPr>
          <w:rFonts w:ascii="Humnst777 BT" w:hAnsi="Humnst777 BT"/>
        </w:rPr>
        <w:t xml:space="preserve">School of </w:t>
      </w:r>
      <w:r w:rsidR="00F80274" w:rsidRPr="007B2777">
        <w:rPr>
          <w:rFonts w:ascii="Humnst777 BT" w:hAnsi="Humnst777 BT"/>
        </w:rPr>
        <w:t>Psychology</w:t>
      </w:r>
      <w:r>
        <w:rPr>
          <w:rFonts w:ascii="Humnst777 BT" w:hAnsi="Humnst777 BT"/>
        </w:rPr>
        <w:t>, Politics and Sociology</w:t>
      </w:r>
      <w:r w:rsidR="00F4570C">
        <w:rPr>
          <w:rFonts w:ascii="Humnst777 BT" w:hAnsi="Humnst777 BT"/>
        </w:rPr>
        <w:t xml:space="preserve"> (includes the </w:t>
      </w:r>
      <w:proofErr w:type="spellStart"/>
      <w:r w:rsidR="00F4570C">
        <w:rPr>
          <w:rFonts w:ascii="Humnst777 BT" w:hAnsi="Humnst777 BT"/>
        </w:rPr>
        <w:t>Salomons</w:t>
      </w:r>
      <w:proofErr w:type="spellEnd"/>
      <w:r w:rsidR="00F4570C">
        <w:rPr>
          <w:rFonts w:ascii="Humnst777 BT" w:hAnsi="Humnst777 BT"/>
        </w:rPr>
        <w:t xml:space="preserve"> Centre for Applied Psychology)</w:t>
      </w:r>
    </w:p>
    <w:p w:rsidR="003035CD" w:rsidRDefault="003035CD" w:rsidP="00F80274">
      <w:pPr>
        <w:jc w:val="both"/>
        <w:rPr>
          <w:rFonts w:ascii="Humnst777 BT" w:hAnsi="Humnst777 BT"/>
        </w:rPr>
      </w:pPr>
      <w:r>
        <w:rPr>
          <w:rFonts w:ascii="Humnst777 BT" w:hAnsi="Humnst777 BT"/>
        </w:rPr>
        <w:t>The Business School</w:t>
      </w:r>
      <w:r w:rsidR="00F4570C">
        <w:rPr>
          <w:rFonts w:ascii="Humnst777 BT" w:hAnsi="Humnst777 BT"/>
        </w:rPr>
        <w:t xml:space="preserve"> (includes </w:t>
      </w:r>
      <w:proofErr w:type="spellStart"/>
      <w:r w:rsidR="00F4570C">
        <w:rPr>
          <w:rFonts w:ascii="Humnst777 BT" w:hAnsi="Humnst777 BT"/>
        </w:rPr>
        <w:t>Salomons</w:t>
      </w:r>
      <w:proofErr w:type="spellEnd"/>
      <w:r w:rsidR="00F4570C">
        <w:rPr>
          <w:rFonts w:ascii="Humnst777 BT" w:hAnsi="Humnst777 BT"/>
        </w:rPr>
        <w:t xml:space="preserve"> Consulting)</w:t>
      </w:r>
    </w:p>
    <w:p w:rsidR="003035CD" w:rsidRDefault="003035CD" w:rsidP="00F80274">
      <w:pPr>
        <w:jc w:val="both"/>
        <w:rPr>
          <w:rFonts w:ascii="Humnst777 BT" w:hAnsi="Humnst777 BT"/>
        </w:rPr>
      </w:pPr>
      <w:r>
        <w:rPr>
          <w:rFonts w:ascii="Humnst777 BT" w:hAnsi="Humnst777 BT"/>
        </w:rPr>
        <w:t xml:space="preserve">School of </w:t>
      </w:r>
      <w:r w:rsidR="00F80274" w:rsidRPr="007B2777">
        <w:rPr>
          <w:rFonts w:ascii="Humnst777 BT" w:hAnsi="Humnst777 BT"/>
        </w:rPr>
        <w:t>Law</w:t>
      </w:r>
      <w:r>
        <w:rPr>
          <w:rFonts w:ascii="Humnst777 BT" w:hAnsi="Humnst777 BT"/>
        </w:rPr>
        <w:t xml:space="preserve">, </w:t>
      </w:r>
      <w:r w:rsidR="00F80274" w:rsidRPr="007B2777">
        <w:rPr>
          <w:rFonts w:ascii="Humnst777 BT" w:hAnsi="Humnst777 BT"/>
        </w:rPr>
        <w:t xml:space="preserve">Criminal Justice </w:t>
      </w:r>
      <w:r>
        <w:rPr>
          <w:rFonts w:ascii="Humnst777 BT" w:hAnsi="Humnst777 BT"/>
        </w:rPr>
        <w:t>and Computing</w:t>
      </w:r>
      <w:r w:rsidR="00F4570C">
        <w:rPr>
          <w:rFonts w:ascii="Humnst777 BT" w:hAnsi="Humnst777 BT"/>
        </w:rPr>
        <w:t xml:space="preserve"> (includes the Mediation Clinic)</w:t>
      </w:r>
    </w:p>
    <w:p w:rsidR="003035CD" w:rsidRDefault="003035CD" w:rsidP="00F80274">
      <w:pPr>
        <w:jc w:val="both"/>
        <w:rPr>
          <w:rFonts w:ascii="Humnst777 BT" w:hAnsi="Humnst777 BT"/>
        </w:rPr>
      </w:pPr>
      <w:r>
        <w:rPr>
          <w:rFonts w:ascii="Humnst777 BT" w:hAnsi="Humnst777 BT"/>
        </w:rPr>
        <w:t>School of Human and Life Sciences</w:t>
      </w:r>
      <w:r w:rsidR="00F4570C">
        <w:rPr>
          <w:rFonts w:ascii="Humnst777 BT" w:hAnsi="Humnst777 BT"/>
        </w:rPr>
        <w:t xml:space="preserve"> (includes Sports Lab and the Centre for Sport, Physical Education and Activity Research)</w:t>
      </w:r>
    </w:p>
    <w:p w:rsidR="00F80274" w:rsidRPr="007B2777" w:rsidRDefault="00F80274" w:rsidP="00F80274">
      <w:pPr>
        <w:jc w:val="both"/>
        <w:rPr>
          <w:rFonts w:ascii="Humnst777 BT" w:hAnsi="Humnst777 BT"/>
        </w:rPr>
      </w:pPr>
    </w:p>
    <w:p w:rsidR="00F80274" w:rsidRPr="007B2777" w:rsidRDefault="00F80274" w:rsidP="00F80274">
      <w:pPr>
        <w:jc w:val="both"/>
        <w:rPr>
          <w:rFonts w:ascii="Humnst777 BT" w:hAnsi="Humnst777 BT"/>
        </w:rPr>
      </w:pPr>
      <w:r w:rsidRPr="007B2777">
        <w:rPr>
          <w:rFonts w:ascii="Humnst777 BT" w:hAnsi="Humnst777 BT"/>
        </w:rPr>
        <w:t>The University offers:</w:t>
      </w:r>
    </w:p>
    <w:p w:rsidR="00716557" w:rsidRDefault="00C14B58" w:rsidP="00F80274">
      <w:pPr>
        <w:numPr>
          <w:ilvl w:val="0"/>
          <w:numId w:val="2"/>
        </w:numPr>
        <w:overflowPunct w:val="0"/>
        <w:autoSpaceDE w:val="0"/>
        <w:autoSpaceDN w:val="0"/>
        <w:adjustRightInd w:val="0"/>
        <w:jc w:val="both"/>
        <w:textAlignment w:val="baseline"/>
        <w:rPr>
          <w:rFonts w:ascii="Humnst777 BT" w:hAnsi="Humnst777 BT"/>
        </w:rPr>
      </w:pPr>
      <w:proofErr w:type="gramStart"/>
      <w:r>
        <w:rPr>
          <w:rFonts w:ascii="Humnst777 BT" w:hAnsi="Humnst777 BT"/>
        </w:rPr>
        <w:lastRenderedPageBreak/>
        <w:t>a</w:t>
      </w:r>
      <w:proofErr w:type="gramEnd"/>
      <w:r w:rsidR="00F80274" w:rsidRPr="007B2777">
        <w:rPr>
          <w:rFonts w:ascii="Humnst777 BT" w:hAnsi="Humnst777 BT"/>
        </w:rPr>
        <w:t xml:space="preserve"> General Modular Scheme which is available in a wide range of subjects and in a number of formats. Some subjects offer single honours degrees, all offer joint or combined (major/minor) degrees. </w:t>
      </w:r>
    </w:p>
    <w:p w:rsidR="00F80274" w:rsidRPr="007B2777" w:rsidRDefault="00C14B58" w:rsidP="00F80274">
      <w:pPr>
        <w:numPr>
          <w:ilvl w:val="0"/>
          <w:numId w:val="2"/>
        </w:numPr>
        <w:overflowPunct w:val="0"/>
        <w:autoSpaceDE w:val="0"/>
        <w:autoSpaceDN w:val="0"/>
        <w:adjustRightInd w:val="0"/>
        <w:jc w:val="both"/>
        <w:textAlignment w:val="baseline"/>
        <w:rPr>
          <w:rFonts w:ascii="Humnst777 BT" w:hAnsi="Humnst777 BT"/>
        </w:rPr>
      </w:pPr>
      <w:r>
        <w:rPr>
          <w:rFonts w:ascii="Humnst777 BT" w:hAnsi="Humnst777 BT"/>
        </w:rPr>
        <w:t>o</w:t>
      </w:r>
      <w:r w:rsidR="00716557">
        <w:rPr>
          <w:rFonts w:ascii="Humnst777 BT" w:hAnsi="Humnst777 BT"/>
        </w:rPr>
        <w:t>ther</w:t>
      </w:r>
      <w:r w:rsidR="00716557" w:rsidRPr="007B2777">
        <w:rPr>
          <w:rFonts w:ascii="Humnst777 BT" w:hAnsi="Humnst777 BT"/>
        </w:rPr>
        <w:t xml:space="preserve"> </w:t>
      </w:r>
      <w:r w:rsidR="00F80274" w:rsidRPr="007B2777">
        <w:rPr>
          <w:rFonts w:ascii="Humnst777 BT" w:hAnsi="Humnst777 BT"/>
        </w:rPr>
        <w:t>undergraduate degrees</w:t>
      </w:r>
      <w:r w:rsidR="00F4570C">
        <w:rPr>
          <w:rFonts w:ascii="Humnst777 BT" w:hAnsi="Humnst777 BT"/>
        </w:rPr>
        <w:t>, some of</w:t>
      </w:r>
      <w:r w:rsidR="007E31C0">
        <w:rPr>
          <w:rFonts w:ascii="Humnst777 BT" w:hAnsi="Humnst777 BT"/>
        </w:rPr>
        <w:t xml:space="preserve"> which</w:t>
      </w:r>
      <w:r w:rsidR="00F80274" w:rsidRPr="007B2777">
        <w:rPr>
          <w:rFonts w:ascii="Humnst777 BT" w:hAnsi="Humnst777 BT"/>
        </w:rPr>
        <w:t xml:space="preserve"> lead conjointly to professional recognition;</w:t>
      </w:r>
    </w:p>
    <w:p w:rsidR="00F4570C" w:rsidRDefault="00CC2FAB" w:rsidP="00F4570C">
      <w:pPr>
        <w:numPr>
          <w:ilvl w:val="0"/>
          <w:numId w:val="2"/>
        </w:numPr>
        <w:overflowPunct w:val="0"/>
        <w:autoSpaceDE w:val="0"/>
        <w:autoSpaceDN w:val="0"/>
        <w:adjustRightInd w:val="0"/>
        <w:jc w:val="both"/>
        <w:textAlignment w:val="baseline"/>
        <w:rPr>
          <w:rFonts w:ascii="Humnst777 BT" w:hAnsi="Humnst777 BT"/>
        </w:rPr>
      </w:pPr>
      <w:r>
        <w:rPr>
          <w:rFonts w:ascii="Humnst777 BT" w:hAnsi="Humnst777 BT"/>
        </w:rPr>
        <w:t>higher degrees of MA, MSc, M</w:t>
      </w:r>
      <w:r w:rsidR="00F80274" w:rsidRPr="007B2777">
        <w:rPr>
          <w:rFonts w:ascii="Humnst777 BT" w:hAnsi="Humnst777 BT"/>
        </w:rPr>
        <w:t xml:space="preserve">Mus, </w:t>
      </w:r>
      <w:proofErr w:type="spellStart"/>
      <w:r w:rsidR="00F4570C">
        <w:rPr>
          <w:rFonts w:ascii="Humnst777 BT" w:hAnsi="Humnst777 BT"/>
        </w:rPr>
        <w:t>MCh</w:t>
      </w:r>
      <w:proofErr w:type="spellEnd"/>
      <w:r w:rsidR="00F4570C">
        <w:rPr>
          <w:rFonts w:ascii="Humnst777 BT" w:hAnsi="Humnst777 BT"/>
        </w:rPr>
        <w:t xml:space="preserve"> </w:t>
      </w:r>
      <w:r w:rsidR="00F80274" w:rsidRPr="007B2777">
        <w:rPr>
          <w:rFonts w:ascii="Humnst777 BT" w:hAnsi="Humnst777 BT"/>
        </w:rPr>
        <w:t xml:space="preserve">and </w:t>
      </w:r>
      <w:r w:rsidR="00F4570C">
        <w:rPr>
          <w:rFonts w:ascii="Humnst777 BT" w:hAnsi="Humnst777 BT"/>
        </w:rPr>
        <w:t>MBA;</w:t>
      </w:r>
    </w:p>
    <w:p w:rsidR="00F80274" w:rsidRPr="007B2777" w:rsidRDefault="00F4570C" w:rsidP="00F4570C">
      <w:pPr>
        <w:numPr>
          <w:ilvl w:val="0"/>
          <w:numId w:val="2"/>
        </w:numPr>
        <w:overflowPunct w:val="0"/>
        <w:autoSpaceDE w:val="0"/>
        <w:autoSpaceDN w:val="0"/>
        <w:adjustRightInd w:val="0"/>
        <w:jc w:val="both"/>
        <w:textAlignment w:val="baseline"/>
        <w:rPr>
          <w:rFonts w:ascii="Humnst777 BT" w:hAnsi="Humnst777 BT"/>
        </w:rPr>
      </w:pPr>
      <w:r>
        <w:rPr>
          <w:rFonts w:ascii="Humnst777 BT" w:hAnsi="Humnst777 BT"/>
        </w:rPr>
        <w:t>re</w:t>
      </w:r>
      <w:r w:rsidR="00F80274" w:rsidRPr="007B2777">
        <w:rPr>
          <w:rFonts w:ascii="Humnst777 BT" w:hAnsi="Humnst777 BT"/>
        </w:rPr>
        <w:t xml:space="preserve">search degrees of </w:t>
      </w:r>
      <w:r>
        <w:rPr>
          <w:rFonts w:ascii="Humnst777 BT" w:hAnsi="Humnst777 BT"/>
        </w:rPr>
        <w:t xml:space="preserve">MA / MSc by research, </w:t>
      </w:r>
      <w:r w:rsidR="00F80274" w:rsidRPr="007B2777">
        <w:rPr>
          <w:rFonts w:ascii="Humnst777 BT" w:hAnsi="Humnst777 BT"/>
        </w:rPr>
        <w:t>M Phil, PhD</w:t>
      </w:r>
      <w:r>
        <w:rPr>
          <w:rFonts w:ascii="Humnst777 BT" w:hAnsi="Humnst777 BT"/>
        </w:rPr>
        <w:t>,</w:t>
      </w:r>
      <w:r w:rsidR="00F80274" w:rsidRPr="007B2777">
        <w:rPr>
          <w:rFonts w:ascii="Humnst777 BT" w:hAnsi="Humnst777 BT"/>
        </w:rPr>
        <w:t xml:space="preserve"> </w:t>
      </w:r>
      <w:proofErr w:type="spellStart"/>
      <w:r>
        <w:rPr>
          <w:rFonts w:ascii="Humnst777 BT" w:hAnsi="Humnst777 BT"/>
        </w:rPr>
        <w:t>EdD</w:t>
      </w:r>
      <w:proofErr w:type="spellEnd"/>
      <w:r>
        <w:rPr>
          <w:rFonts w:ascii="Humnst777 BT" w:hAnsi="Humnst777 BT"/>
        </w:rPr>
        <w:t xml:space="preserve"> and </w:t>
      </w:r>
      <w:proofErr w:type="spellStart"/>
      <w:r>
        <w:rPr>
          <w:rFonts w:ascii="Humnst777 BT" w:hAnsi="Humnst777 BT"/>
        </w:rPr>
        <w:t>DClinPsychol</w:t>
      </w:r>
      <w:proofErr w:type="spellEnd"/>
      <w:r>
        <w:rPr>
          <w:rFonts w:ascii="Humnst777 BT" w:hAnsi="Humnst777 BT"/>
        </w:rPr>
        <w:t>;</w:t>
      </w:r>
    </w:p>
    <w:p w:rsidR="00F80274" w:rsidRPr="007B2777" w:rsidRDefault="00F80274" w:rsidP="00F80274">
      <w:pPr>
        <w:numPr>
          <w:ilvl w:val="0"/>
          <w:numId w:val="2"/>
        </w:numPr>
        <w:overflowPunct w:val="0"/>
        <w:autoSpaceDE w:val="0"/>
        <w:autoSpaceDN w:val="0"/>
        <w:adjustRightInd w:val="0"/>
        <w:jc w:val="both"/>
        <w:textAlignment w:val="baseline"/>
        <w:rPr>
          <w:rFonts w:ascii="Humnst777 BT" w:hAnsi="Humnst777 BT"/>
        </w:rPr>
      </w:pPr>
      <w:r w:rsidRPr="007B2777">
        <w:rPr>
          <w:rFonts w:ascii="Humnst777 BT" w:hAnsi="Humnst777 BT"/>
        </w:rPr>
        <w:t xml:space="preserve">an increasing number of Foundation Degrees; </w:t>
      </w:r>
    </w:p>
    <w:p w:rsidR="00F80274" w:rsidRPr="007B2777" w:rsidRDefault="00F80274" w:rsidP="00F80274">
      <w:pPr>
        <w:numPr>
          <w:ilvl w:val="0"/>
          <w:numId w:val="2"/>
        </w:numPr>
        <w:overflowPunct w:val="0"/>
        <w:autoSpaceDE w:val="0"/>
        <w:autoSpaceDN w:val="0"/>
        <w:adjustRightInd w:val="0"/>
        <w:jc w:val="both"/>
        <w:textAlignment w:val="baseline"/>
        <w:rPr>
          <w:rFonts w:ascii="Humnst777 BT" w:hAnsi="Humnst777 BT"/>
        </w:rPr>
      </w:pPr>
      <w:r w:rsidRPr="007B2777">
        <w:rPr>
          <w:rFonts w:ascii="Humnst777 BT" w:hAnsi="Humnst777 BT"/>
        </w:rPr>
        <w:t xml:space="preserve">a range of full-time and part-time diplomas and certificates, including Diplomas and Certificates of Higher Education, </w:t>
      </w:r>
      <w:r w:rsidR="00CC2FAB">
        <w:rPr>
          <w:rFonts w:ascii="Humnst777 BT" w:hAnsi="Humnst777 BT"/>
        </w:rPr>
        <w:t xml:space="preserve">HNCs and </w:t>
      </w:r>
      <w:r w:rsidRPr="007B2777">
        <w:rPr>
          <w:rFonts w:ascii="Humnst777 BT" w:hAnsi="Humnst777 BT"/>
        </w:rPr>
        <w:t>HNDs, Postgraduate Certificates and</w:t>
      </w:r>
      <w:r w:rsidR="007226B6">
        <w:rPr>
          <w:rFonts w:ascii="Humnst777 BT" w:hAnsi="Humnst777 BT"/>
        </w:rPr>
        <w:t xml:space="preserve"> </w:t>
      </w:r>
      <w:r w:rsidR="00C14B58">
        <w:rPr>
          <w:rFonts w:ascii="Humnst777 BT" w:hAnsi="Humnst777 BT"/>
        </w:rPr>
        <w:t xml:space="preserve">Postgraduate </w:t>
      </w:r>
      <w:r w:rsidRPr="007B2777">
        <w:rPr>
          <w:rFonts w:ascii="Humnst777 BT" w:hAnsi="Humnst777 BT"/>
        </w:rPr>
        <w:t xml:space="preserve">Diplomas.  Many of these diplomas and certificates are effectively professional qualifications;  </w:t>
      </w:r>
    </w:p>
    <w:p w:rsidR="00F80274" w:rsidRPr="007B2777" w:rsidRDefault="00F80274" w:rsidP="00F80274">
      <w:pPr>
        <w:numPr>
          <w:ilvl w:val="0"/>
          <w:numId w:val="2"/>
        </w:numPr>
        <w:overflowPunct w:val="0"/>
        <w:autoSpaceDE w:val="0"/>
        <w:autoSpaceDN w:val="0"/>
        <w:adjustRightInd w:val="0"/>
        <w:jc w:val="both"/>
        <w:textAlignment w:val="baseline"/>
        <w:rPr>
          <w:rFonts w:ascii="Humnst777 BT" w:hAnsi="Humnst777 BT"/>
        </w:rPr>
      </w:pPr>
      <w:proofErr w:type="gramStart"/>
      <w:r w:rsidRPr="007B2777">
        <w:rPr>
          <w:rFonts w:ascii="Humnst777 BT" w:hAnsi="Humnst777 BT"/>
        </w:rPr>
        <w:t>a</w:t>
      </w:r>
      <w:proofErr w:type="gramEnd"/>
      <w:r w:rsidRPr="007B2777">
        <w:rPr>
          <w:rFonts w:ascii="Humnst777 BT" w:hAnsi="Humnst777 BT"/>
        </w:rPr>
        <w:t xml:space="preserve"> wide range of short courses and consultancies</w:t>
      </w:r>
      <w:r w:rsidR="00C14B58">
        <w:rPr>
          <w:rFonts w:ascii="Humnst777 BT" w:hAnsi="Humnst777 BT"/>
        </w:rPr>
        <w:t>.</w:t>
      </w:r>
    </w:p>
    <w:p w:rsidR="00C14B58" w:rsidRDefault="00C14B58" w:rsidP="00C14B58">
      <w:pPr>
        <w:overflowPunct w:val="0"/>
        <w:autoSpaceDE w:val="0"/>
        <w:autoSpaceDN w:val="0"/>
        <w:adjustRightInd w:val="0"/>
        <w:jc w:val="both"/>
        <w:textAlignment w:val="baseline"/>
        <w:rPr>
          <w:rFonts w:ascii="Humnst777 BT" w:hAnsi="Humnst777 BT"/>
        </w:rPr>
      </w:pPr>
    </w:p>
    <w:p w:rsidR="00751CB3" w:rsidRDefault="00F80274" w:rsidP="00C14B58">
      <w:pPr>
        <w:overflowPunct w:val="0"/>
        <w:autoSpaceDE w:val="0"/>
        <w:autoSpaceDN w:val="0"/>
        <w:adjustRightInd w:val="0"/>
        <w:jc w:val="both"/>
        <w:textAlignment w:val="baseline"/>
        <w:rPr>
          <w:rFonts w:ascii="Humnst777 BT" w:hAnsi="Humnst777 BT"/>
        </w:rPr>
      </w:pPr>
      <w:r w:rsidRPr="007B2777">
        <w:rPr>
          <w:rFonts w:ascii="Humnst777 BT" w:hAnsi="Humnst777 BT"/>
        </w:rPr>
        <w:t>In addition, the University - through the International Office - recruits overseas students who give an international dimension to academic life.</w:t>
      </w:r>
    </w:p>
    <w:p w:rsidR="00F80274" w:rsidRPr="007B2777" w:rsidRDefault="00F80274" w:rsidP="00F80274">
      <w:pPr>
        <w:jc w:val="both"/>
        <w:rPr>
          <w:rFonts w:ascii="Humnst777 BT" w:hAnsi="Humnst777 BT"/>
        </w:rPr>
      </w:pPr>
    </w:p>
    <w:p w:rsidR="00F80274" w:rsidRPr="007B2777" w:rsidRDefault="00402FC2" w:rsidP="00F80274">
      <w:pPr>
        <w:jc w:val="both"/>
        <w:rPr>
          <w:rFonts w:ascii="Humnst777 BT" w:hAnsi="Humnst777 BT"/>
        </w:rPr>
      </w:pPr>
      <w:r>
        <w:rPr>
          <w:rFonts w:ascii="Humnst777 BT" w:hAnsi="Humnst777 BT"/>
        </w:rPr>
        <w:t>T</w:t>
      </w:r>
      <w:r w:rsidR="00F80274" w:rsidRPr="007B2777">
        <w:rPr>
          <w:rFonts w:ascii="Humnst777 BT" w:hAnsi="Humnst777 BT"/>
        </w:rPr>
        <w:t xml:space="preserve">he University also validates a significant number of higher education programmes in partnership with a range of organisations, including Colleges of Further Education, Local Authorities, </w:t>
      </w:r>
      <w:r w:rsidR="003035CD">
        <w:rPr>
          <w:rFonts w:ascii="Humnst777 BT" w:hAnsi="Humnst777 BT"/>
        </w:rPr>
        <w:t>charitable organisations, specialist private providers</w:t>
      </w:r>
      <w:r w:rsidR="00F80274" w:rsidRPr="007B2777">
        <w:rPr>
          <w:rFonts w:ascii="Humnst777 BT" w:hAnsi="Humnst777 BT"/>
        </w:rPr>
        <w:t xml:space="preserve"> and National Health Service Trusts.</w:t>
      </w:r>
    </w:p>
    <w:p w:rsidR="00F80274" w:rsidRDefault="00F80274" w:rsidP="0011771E">
      <w:pPr>
        <w:pStyle w:val="Heading2"/>
      </w:pPr>
    </w:p>
    <w:p w:rsidR="00F80274" w:rsidRDefault="00F80274">
      <w:pPr>
        <w:spacing w:after="200" w:line="276" w:lineRule="auto"/>
        <w:rPr>
          <w:rFonts w:asciiTheme="majorHAnsi" w:eastAsiaTheme="majorEastAsia" w:hAnsiTheme="majorHAnsi" w:cstheme="majorBidi"/>
          <w:b/>
          <w:bCs/>
          <w:color w:val="4F81BD" w:themeColor="accent1"/>
          <w:sz w:val="26"/>
          <w:szCs w:val="26"/>
        </w:rPr>
      </w:pPr>
      <w:r>
        <w:br w:type="page"/>
      </w:r>
    </w:p>
    <w:p w:rsidR="00D363E4" w:rsidRPr="00615886" w:rsidRDefault="007273A0" w:rsidP="0011771E">
      <w:pPr>
        <w:pStyle w:val="Heading2"/>
      </w:pPr>
      <w:r>
        <w:lastRenderedPageBreak/>
        <w:t>2</w:t>
      </w:r>
      <w:r w:rsidR="00237373">
        <w:tab/>
      </w:r>
      <w:r w:rsidR="006A0FA8">
        <w:t xml:space="preserve">Definitions </w:t>
      </w:r>
      <w:r w:rsidR="00D3169A">
        <w:t xml:space="preserve">relevant to </w:t>
      </w:r>
      <w:r w:rsidR="003035CD">
        <w:t xml:space="preserve">programme </w:t>
      </w:r>
      <w:r w:rsidR="00D3169A">
        <w:t>validation</w:t>
      </w:r>
      <w:r w:rsidR="00F4570C">
        <w:t>, partner approval</w:t>
      </w:r>
      <w:r w:rsidR="003035CD">
        <w:t xml:space="preserve"> and </w:t>
      </w:r>
      <w:r w:rsidR="00F4570C">
        <w:t xml:space="preserve">periodic programme and partnership </w:t>
      </w:r>
      <w:r w:rsidR="003035CD">
        <w:t>review</w:t>
      </w:r>
    </w:p>
    <w:p w:rsidR="00AC11D6" w:rsidRDefault="00AC11D6" w:rsidP="00D363E4">
      <w:pPr>
        <w:ind w:right="-43"/>
        <w:rPr>
          <w:bCs/>
        </w:rPr>
      </w:pPr>
    </w:p>
    <w:p w:rsidR="00CC2FAB" w:rsidRDefault="00525C94" w:rsidP="00CC2FAB">
      <w:pPr>
        <w:rPr>
          <w:rFonts w:ascii="Humnst777 BT" w:hAnsi="Humnst777 BT"/>
        </w:rPr>
      </w:pPr>
      <w:r w:rsidRPr="00525C94">
        <w:rPr>
          <w:rFonts w:ascii="Humnst777 BT" w:hAnsi="Humnst777 BT"/>
        </w:rPr>
        <w:t xml:space="preserve">The terminology used in validation </w:t>
      </w:r>
      <w:r w:rsidR="003035CD">
        <w:rPr>
          <w:rFonts w:ascii="Humnst777 BT" w:hAnsi="Humnst777 BT"/>
        </w:rPr>
        <w:t xml:space="preserve">and review </w:t>
      </w:r>
      <w:r w:rsidRPr="00525C94">
        <w:rPr>
          <w:rFonts w:ascii="Humnst777 BT" w:hAnsi="Humnst777 BT"/>
        </w:rPr>
        <w:t>documents should follow the definitions set out below. These are drawn from</w:t>
      </w:r>
      <w:r w:rsidR="003035CD">
        <w:rPr>
          <w:rFonts w:ascii="Humnst777 BT" w:hAnsi="Humnst777 BT"/>
        </w:rPr>
        <w:t xml:space="preserve"> the </w:t>
      </w:r>
      <w:hyperlink r:id="rId10" w:history="1">
        <w:r w:rsidR="003035CD" w:rsidRPr="00422A23">
          <w:rPr>
            <w:rStyle w:val="Hyperlink"/>
            <w:rFonts w:ascii="Humnst777 BT" w:hAnsi="Humnst777 BT"/>
          </w:rPr>
          <w:t xml:space="preserve">University Quality </w:t>
        </w:r>
        <w:r w:rsidR="003035CD" w:rsidRPr="00422A23">
          <w:rPr>
            <w:rStyle w:val="Hyperlink"/>
            <w:rFonts w:ascii="Humnst777 BT" w:hAnsi="Humnst777 BT"/>
          </w:rPr>
          <w:t>M</w:t>
        </w:r>
        <w:r w:rsidR="003035CD" w:rsidRPr="00422A23">
          <w:rPr>
            <w:rStyle w:val="Hyperlink"/>
            <w:rFonts w:ascii="Humnst777 BT" w:hAnsi="Humnst777 BT"/>
          </w:rPr>
          <w:t>anual</w:t>
        </w:r>
      </w:hyperlink>
    </w:p>
    <w:p w:rsidR="00CC2FAB" w:rsidRDefault="00CC2FAB" w:rsidP="00CC2FAB">
      <w:pPr>
        <w:rPr>
          <w:rFonts w:ascii="Humnst777 BT" w:hAnsi="Humnst777 B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6241"/>
      </w:tblGrid>
      <w:tr w:rsidR="00CC2FAB" w:rsidRPr="00CC2FAB" w:rsidTr="00EB7C33">
        <w:tc>
          <w:tcPr>
            <w:tcW w:w="2120" w:type="dxa"/>
          </w:tcPr>
          <w:p w:rsidR="00CC2FAB" w:rsidRPr="00CC2FAB" w:rsidRDefault="00CC2FAB" w:rsidP="00EB7C33">
            <w:pPr>
              <w:numPr>
                <w:ilvl w:val="12"/>
                <w:numId w:val="0"/>
              </w:numPr>
              <w:rPr>
                <w:rFonts w:ascii="Humnst777 Lt BT" w:hAnsi="Humnst777 Lt BT"/>
              </w:rPr>
            </w:pPr>
            <w:r w:rsidRPr="00CC2FAB">
              <w:rPr>
                <w:rFonts w:ascii="Humnst777 Lt BT" w:hAnsi="Humnst777 Lt BT"/>
              </w:rPr>
              <w:t>Accreditation</w:t>
            </w:r>
          </w:p>
        </w:tc>
        <w:tc>
          <w:tcPr>
            <w:tcW w:w="6437" w:type="dxa"/>
          </w:tcPr>
          <w:p w:rsidR="00CC2FAB" w:rsidRPr="00CC2FAB" w:rsidRDefault="00CC2FAB" w:rsidP="00EB7C33">
            <w:pPr>
              <w:numPr>
                <w:ilvl w:val="12"/>
                <w:numId w:val="0"/>
              </w:numPr>
              <w:rPr>
                <w:rFonts w:ascii="Humnst777 Lt BT" w:hAnsi="Humnst777 Lt BT"/>
              </w:rPr>
            </w:pPr>
            <w:r w:rsidRPr="00CC2FAB">
              <w:rPr>
                <w:rFonts w:ascii="Humnst777 Lt BT" w:hAnsi="Humnst777 Lt BT"/>
              </w:rPr>
              <w:t>The process by which the University allows greater autonomy in areas of quality assurance to partners which are working with the University to confer a University award, and which over a period of time have demonstrated their ability to have management of quality and enhancement delegated to them.  The University does not at the present have such arrangements.  Offering validated programmes does not in itself evidence the capacity to so act.</w:t>
            </w:r>
          </w:p>
        </w:tc>
      </w:tr>
      <w:tr w:rsidR="00CC2FAB" w:rsidRPr="00CC2FAB" w:rsidTr="00EB7C33">
        <w:tc>
          <w:tcPr>
            <w:tcW w:w="2120" w:type="dxa"/>
          </w:tcPr>
          <w:p w:rsidR="00CC2FAB" w:rsidRPr="00CC2FAB" w:rsidRDefault="00402FC2" w:rsidP="00EB7C33">
            <w:pPr>
              <w:numPr>
                <w:ilvl w:val="12"/>
                <w:numId w:val="0"/>
              </w:numPr>
              <w:rPr>
                <w:rFonts w:ascii="Humnst777 Lt BT" w:hAnsi="Humnst777 Lt BT"/>
              </w:rPr>
            </w:pPr>
            <w:r>
              <w:rPr>
                <w:rFonts w:ascii="Humnst777 Lt BT" w:hAnsi="Humnst777 Lt BT"/>
              </w:rPr>
              <w:t>Recognition</w:t>
            </w:r>
            <w:r w:rsidR="00CC2FAB" w:rsidRPr="00CC2FAB">
              <w:rPr>
                <w:rFonts w:ascii="Humnst777 Lt BT" w:hAnsi="Humnst777 Lt BT"/>
              </w:rPr>
              <w:t xml:space="preserve"> of prior learning (APL)</w:t>
            </w:r>
          </w:p>
        </w:tc>
        <w:tc>
          <w:tcPr>
            <w:tcW w:w="6437" w:type="dxa"/>
          </w:tcPr>
          <w:p w:rsidR="00CC2FAB" w:rsidRPr="00CC2FAB" w:rsidRDefault="00CC2FAB" w:rsidP="00EB7C33">
            <w:pPr>
              <w:numPr>
                <w:ilvl w:val="12"/>
                <w:numId w:val="0"/>
              </w:numPr>
              <w:rPr>
                <w:rFonts w:ascii="Humnst777 Lt BT" w:hAnsi="Humnst777 Lt BT"/>
              </w:rPr>
            </w:pPr>
            <w:r w:rsidRPr="00CC2FAB">
              <w:rPr>
                <w:rFonts w:ascii="Humnst777 Lt BT" w:hAnsi="Humnst777 Lt BT"/>
              </w:rPr>
              <w:t>A process that recognises learning undertaken outside the programme of study being taken.  This can be through either</w:t>
            </w:r>
          </w:p>
          <w:p w:rsidR="00CC2FAB" w:rsidRPr="00CC2FAB" w:rsidRDefault="00CC2FAB" w:rsidP="00CC2FAB">
            <w:pPr>
              <w:pStyle w:val="ListParagraph"/>
              <w:numPr>
                <w:ilvl w:val="0"/>
                <w:numId w:val="13"/>
              </w:numPr>
              <w:overflowPunct/>
              <w:autoSpaceDE/>
              <w:autoSpaceDN/>
              <w:adjustRightInd/>
              <w:textAlignment w:val="auto"/>
              <w:rPr>
                <w:rFonts w:ascii="Humnst777 Lt BT" w:hAnsi="Humnst777 Lt BT"/>
                <w:sz w:val="22"/>
                <w:szCs w:val="22"/>
              </w:rPr>
            </w:pPr>
            <w:r w:rsidRPr="00CC2FAB">
              <w:rPr>
                <w:rFonts w:ascii="Humnst777 Lt BT" w:hAnsi="Humnst777 Lt BT"/>
                <w:sz w:val="22"/>
                <w:szCs w:val="22"/>
              </w:rPr>
              <w:t xml:space="preserve">the </w:t>
            </w:r>
            <w:r w:rsidR="00402FC2">
              <w:rPr>
                <w:rFonts w:ascii="Humnst777 Lt BT" w:hAnsi="Humnst777 Lt BT"/>
                <w:sz w:val="22"/>
                <w:szCs w:val="22"/>
              </w:rPr>
              <w:t>Recognition</w:t>
            </w:r>
            <w:r w:rsidRPr="00CC2FAB">
              <w:rPr>
                <w:rFonts w:ascii="Humnst777 Lt BT" w:hAnsi="Humnst777 Lt BT"/>
                <w:sz w:val="22"/>
                <w:szCs w:val="22"/>
              </w:rPr>
              <w:t xml:space="preserve"> of prior certificated learning (</w:t>
            </w:r>
            <w:r w:rsidR="00402FC2">
              <w:rPr>
                <w:rFonts w:ascii="Humnst777 Lt BT" w:hAnsi="Humnst777 Lt BT"/>
                <w:sz w:val="22"/>
                <w:szCs w:val="22"/>
              </w:rPr>
              <w:t>R</w:t>
            </w:r>
            <w:r w:rsidRPr="00CC2FAB">
              <w:rPr>
                <w:rFonts w:ascii="Humnst777 Lt BT" w:hAnsi="Humnst777 Lt BT"/>
                <w:sz w:val="22"/>
                <w:szCs w:val="22"/>
              </w:rPr>
              <w:t>PCL), where no credit is awarded by the University</w:t>
            </w:r>
          </w:p>
          <w:p w:rsidR="00CC2FAB" w:rsidRPr="00CC2FAB" w:rsidRDefault="00CC2FAB" w:rsidP="00402FC2">
            <w:pPr>
              <w:pStyle w:val="ListParagraph"/>
              <w:numPr>
                <w:ilvl w:val="0"/>
                <w:numId w:val="13"/>
              </w:numPr>
              <w:overflowPunct/>
              <w:autoSpaceDE/>
              <w:autoSpaceDN/>
              <w:adjustRightInd/>
              <w:textAlignment w:val="auto"/>
              <w:rPr>
                <w:rFonts w:ascii="Humnst777 Lt BT" w:hAnsi="Humnst777 Lt BT"/>
                <w:sz w:val="22"/>
                <w:szCs w:val="22"/>
              </w:rPr>
            </w:pPr>
            <w:proofErr w:type="gramStart"/>
            <w:r w:rsidRPr="00CC2FAB">
              <w:rPr>
                <w:rFonts w:ascii="Humnst777 Lt BT" w:hAnsi="Humnst777 Lt BT"/>
                <w:sz w:val="22"/>
                <w:szCs w:val="22"/>
              </w:rPr>
              <w:t>the</w:t>
            </w:r>
            <w:proofErr w:type="gramEnd"/>
            <w:r w:rsidRPr="00CC2FAB">
              <w:rPr>
                <w:rFonts w:ascii="Humnst777 Lt BT" w:hAnsi="Humnst777 Lt BT"/>
                <w:sz w:val="22"/>
                <w:szCs w:val="22"/>
              </w:rPr>
              <w:t xml:space="preserve"> </w:t>
            </w:r>
            <w:r w:rsidR="00402FC2">
              <w:rPr>
                <w:rFonts w:ascii="Humnst777 Lt BT" w:hAnsi="Humnst777 Lt BT"/>
                <w:sz w:val="22"/>
                <w:szCs w:val="22"/>
              </w:rPr>
              <w:t>Recognition</w:t>
            </w:r>
            <w:r w:rsidRPr="00CC2FAB">
              <w:rPr>
                <w:rFonts w:ascii="Humnst777 Lt BT" w:hAnsi="Humnst777 Lt BT"/>
                <w:sz w:val="22"/>
                <w:szCs w:val="22"/>
              </w:rPr>
              <w:t xml:space="preserve"> of prior experiential learning (</w:t>
            </w:r>
            <w:r w:rsidR="00402FC2">
              <w:rPr>
                <w:rFonts w:ascii="Humnst777 Lt BT" w:hAnsi="Humnst777 Lt BT"/>
                <w:sz w:val="22"/>
                <w:szCs w:val="22"/>
              </w:rPr>
              <w:t>R</w:t>
            </w:r>
            <w:r w:rsidRPr="00CC2FAB">
              <w:rPr>
                <w:rFonts w:ascii="Humnst777 Lt BT" w:hAnsi="Humnst777 Lt BT"/>
                <w:sz w:val="22"/>
                <w:szCs w:val="22"/>
              </w:rPr>
              <w:t>PEL), where credit is awarded by the University.</w:t>
            </w:r>
          </w:p>
        </w:tc>
      </w:tr>
      <w:tr w:rsidR="00CC2FAB" w:rsidRPr="00CC2FAB" w:rsidTr="00EB7C33">
        <w:trPr>
          <w:trHeight w:val="841"/>
        </w:trPr>
        <w:tc>
          <w:tcPr>
            <w:tcW w:w="2120" w:type="dxa"/>
          </w:tcPr>
          <w:p w:rsidR="00CC2FAB" w:rsidRPr="00CC2FAB" w:rsidRDefault="00CC2FAB" w:rsidP="00EB7C33">
            <w:pPr>
              <w:numPr>
                <w:ilvl w:val="12"/>
                <w:numId w:val="0"/>
              </w:numPr>
              <w:rPr>
                <w:rFonts w:ascii="Humnst777 Lt BT" w:hAnsi="Humnst777 Lt BT"/>
              </w:rPr>
            </w:pPr>
            <w:r w:rsidRPr="00CC2FAB">
              <w:rPr>
                <w:rFonts w:ascii="Humnst777 Lt BT" w:hAnsi="Humnst777 Lt BT"/>
              </w:rPr>
              <w:t>Advanced Standing</w:t>
            </w:r>
          </w:p>
        </w:tc>
        <w:tc>
          <w:tcPr>
            <w:tcW w:w="6437" w:type="dxa"/>
          </w:tcPr>
          <w:p w:rsidR="00CC2FAB" w:rsidRPr="00CC2FAB" w:rsidRDefault="00CC2FAB" w:rsidP="00402FC2">
            <w:pPr>
              <w:numPr>
                <w:ilvl w:val="12"/>
                <w:numId w:val="0"/>
              </w:numPr>
              <w:rPr>
                <w:rFonts w:ascii="Humnst777 Lt BT" w:hAnsi="Humnst777 Lt BT"/>
              </w:rPr>
            </w:pPr>
            <w:r w:rsidRPr="00CC2FAB">
              <w:rPr>
                <w:rFonts w:ascii="Humnst777 Lt BT" w:hAnsi="Humnst777 Lt BT"/>
              </w:rPr>
              <w:t xml:space="preserve">The use of </w:t>
            </w:r>
            <w:r w:rsidR="00402FC2">
              <w:rPr>
                <w:rFonts w:ascii="Humnst777 Lt BT" w:hAnsi="Humnst777 Lt BT"/>
              </w:rPr>
              <w:t>R</w:t>
            </w:r>
            <w:r w:rsidRPr="00CC2FAB">
              <w:rPr>
                <w:rFonts w:ascii="Humnst777 Lt BT" w:hAnsi="Humnst777 Lt BT"/>
              </w:rPr>
              <w:t xml:space="preserve">PL to gain entry to a programme at a stage of a programme later than the normal admission stage.  This is normally through </w:t>
            </w:r>
            <w:r w:rsidR="00402FC2">
              <w:rPr>
                <w:rFonts w:ascii="Humnst777 Lt BT" w:hAnsi="Humnst777 Lt BT"/>
              </w:rPr>
              <w:t>R</w:t>
            </w:r>
            <w:r w:rsidRPr="00CC2FAB">
              <w:rPr>
                <w:rFonts w:ascii="Humnst777 Lt BT" w:hAnsi="Humnst777 Lt BT"/>
              </w:rPr>
              <w:t xml:space="preserve">PCL, but can be through </w:t>
            </w:r>
            <w:r w:rsidR="00402FC2">
              <w:rPr>
                <w:rFonts w:ascii="Humnst777 Lt BT" w:hAnsi="Humnst777 Lt BT"/>
              </w:rPr>
              <w:t>R</w:t>
            </w:r>
            <w:r w:rsidRPr="00CC2FAB">
              <w:rPr>
                <w:rFonts w:ascii="Humnst777 Lt BT" w:hAnsi="Humnst777 Lt BT"/>
              </w:rPr>
              <w:t xml:space="preserve">PEL.  Advanced Standing does not result in the award of credits by the University.  </w:t>
            </w:r>
          </w:p>
        </w:tc>
      </w:tr>
      <w:tr w:rsidR="00CC2FAB" w:rsidRPr="00CC2FAB" w:rsidTr="00EB7C33">
        <w:trPr>
          <w:trHeight w:val="841"/>
        </w:trPr>
        <w:tc>
          <w:tcPr>
            <w:tcW w:w="2120" w:type="dxa"/>
          </w:tcPr>
          <w:p w:rsidR="00CC2FAB" w:rsidRPr="00CC2FAB" w:rsidRDefault="00CC2FAB" w:rsidP="00EB7C33">
            <w:pPr>
              <w:keepNext/>
              <w:rPr>
                <w:rFonts w:ascii="Humnst777 Lt BT" w:hAnsi="Humnst777 Lt BT"/>
              </w:rPr>
            </w:pPr>
            <w:r w:rsidRPr="00CC2FAB">
              <w:rPr>
                <w:rFonts w:ascii="Humnst777 Lt BT" w:hAnsi="Humnst777 Lt BT"/>
              </w:rPr>
              <w:t>Articulation agreement</w:t>
            </w:r>
          </w:p>
        </w:tc>
        <w:tc>
          <w:tcPr>
            <w:tcW w:w="6437" w:type="dxa"/>
          </w:tcPr>
          <w:p w:rsidR="00CC2FAB" w:rsidRPr="00CC2FAB" w:rsidRDefault="00CC2FAB" w:rsidP="00EB7C33">
            <w:pPr>
              <w:numPr>
                <w:ilvl w:val="12"/>
                <w:numId w:val="0"/>
              </w:numPr>
              <w:rPr>
                <w:rFonts w:ascii="Humnst777 Lt BT" w:hAnsi="Humnst777 Lt BT"/>
              </w:rPr>
            </w:pPr>
            <w:r w:rsidRPr="00CC2FAB">
              <w:rPr>
                <w:rFonts w:ascii="Humnst777 Lt BT" w:hAnsi="Humnst777 Lt BT"/>
              </w:rPr>
              <w:t xml:space="preserve">An articulation agreement is a formal agreement that allows specific credit that has been gained from one higher education institution to be transferred to another institution as advanced standing.  The right to such advanced standing applies to all students covered by the agreement, who have gained that specific credit, without a further consideration of that credit, subject to any limitations set out in the agreement.  An articulation agreement is therefore covered by Chapter B10 of the </w:t>
            </w:r>
            <w:r w:rsidRPr="00CC2FAB">
              <w:rPr>
                <w:rFonts w:ascii="Humnst777 Lt BT" w:hAnsi="Humnst777 Lt BT"/>
                <w:i/>
                <w:iCs/>
              </w:rPr>
              <w:t>UK Quality Code for Higher Education</w:t>
            </w:r>
            <w:r w:rsidRPr="00CC2FAB">
              <w:rPr>
                <w:rFonts w:ascii="Humnst777 Lt BT" w:hAnsi="Humnst777 Lt BT"/>
              </w:rPr>
              <w:t>, as the University in receipt of the credits will need to assure itself of the quality and standards of the learning that is undertaken at its partner and cannot do this though an assessment of the achievement of the individual student.  It contrasts therefore with APL (qv) where there is no prior commitment to offer a student advanced standing and where entry is dependent on an assessment of the achievement of a student, and with a Progression Accord (qv), where no credit is being imported and where there may be additional hurdles, such as an interview.</w:t>
            </w:r>
          </w:p>
        </w:tc>
      </w:tr>
      <w:tr w:rsidR="00CC2FAB" w:rsidRPr="00CC2FAB" w:rsidTr="00EB7C33">
        <w:trPr>
          <w:trHeight w:val="413"/>
        </w:trPr>
        <w:tc>
          <w:tcPr>
            <w:tcW w:w="2120" w:type="dxa"/>
          </w:tcPr>
          <w:p w:rsidR="00CC2FAB" w:rsidRPr="00CC2FAB" w:rsidRDefault="00CC2FAB" w:rsidP="00EB7C33">
            <w:pPr>
              <w:keepNext/>
              <w:rPr>
                <w:rFonts w:ascii="Humnst777 Lt BT" w:hAnsi="Humnst777 Lt BT"/>
              </w:rPr>
            </w:pPr>
            <w:r w:rsidRPr="00CC2FAB">
              <w:rPr>
                <w:rFonts w:ascii="Humnst777 Lt BT" w:hAnsi="Humnst777 Lt BT"/>
              </w:rPr>
              <w:t>Blended learning</w:t>
            </w:r>
          </w:p>
        </w:tc>
        <w:tc>
          <w:tcPr>
            <w:tcW w:w="6437" w:type="dxa"/>
          </w:tcPr>
          <w:p w:rsidR="00CC2FAB" w:rsidRPr="00CC2FAB" w:rsidRDefault="00CC2FAB" w:rsidP="00EB7C33">
            <w:pPr>
              <w:numPr>
                <w:ilvl w:val="12"/>
                <w:numId w:val="0"/>
              </w:numPr>
              <w:rPr>
                <w:rFonts w:ascii="Humnst777 Lt BT" w:hAnsi="Humnst777 Lt BT"/>
                <w:i/>
              </w:rPr>
            </w:pPr>
            <w:r w:rsidRPr="00CC2FAB">
              <w:rPr>
                <w:rFonts w:ascii="Humnst777 Lt BT" w:hAnsi="Humnst777 Lt BT"/>
              </w:rPr>
              <w:t xml:space="preserve">A programme delivered using a combination of traditional classroom-based learning and distance learning, normally using such </w:t>
            </w:r>
            <w:r w:rsidRPr="00CC2FAB">
              <w:rPr>
                <w:rFonts w:ascii="Humnst777 Lt BT" w:hAnsi="Humnst777 Lt BT" w:cs="Arial"/>
                <w:color w:val="000000"/>
              </w:rPr>
              <w:t xml:space="preserve">information technologies as video-conferencing, audio-conferencing, Internet, CD-ROM, and other media, and underpinned by effective learner support systems.  </w:t>
            </w:r>
          </w:p>
        </w:tc>
      </w:tr>
      <w:tr w:rsidR="00CC2FAB" w:rsidRPr="00CC2FAB" w:rsidTr="00EB7C33">
        <w:tc>
          <w:tcPr>
            <w:tcW w:w="2120" w:type="dxa"/>
          </w:tcPr>
          <w:p w:rsidR="00CC2FAB" w:rsidRPr="00CC2FAB" w:rsidRDefault="00CC2FAB" w:rsidP="00EB7C33">
            <w:pPr>
              <w:rPr>
                <w:rFonts w:ascii="Humnst777 Lt BT" w:hAnsi="Humnst777 Lt BT"/>
              </w:rPr>
            </w:pPr>
            <w:r w:rsidRPr="00CC2FAB">
              <w:rPr>
                <w:rFonts w:ascii="Humnst777 Lt BT" w:hAnsi="Humnst777 Lt BT"/>
              </w:rPr>
              <w:t>Collaborative provision</w:t>
            </w:r>
          </w:p>
        </w:tc>
        <w:tc>
          <w:tcPr>
            <w:tcW w:w="6437" w:type="dxa"/>
            <w:vAlign w:val="center"/>
          </w:tcPr>
          <w:p w:rsidR="00CC2FAB" w:rsidRPr="00CC2FAB" w:rsidRDefault="00CC2FAB" w:rsidP="00EB7C33">
            <w:pPr>
              <w:numPr>
                <w:ilvl w:val="12"/>
                <w:numId w:val="0"/>
              </w:numPr>
              <w:rPr>
                <w:rFonts w:ascii="Humnst777 Lt BT" w:hAnsi="Humnst777 Lt BT"/>
              </w:rPr>
            </w:pPr>
            <w:r w:rsidRPr="00CC2FAB">
              <w:rPr>
                <w:rFonts w:ascii="Humnst777 Lt BT" w:hAnsi="Humnst777 Lt BT"/>
              </w:rPr>
              <w:t xml:space="preserve">Collaborative Provision is an arrangement in which a higher education institution enters into partnership with another </w:t>
            </w:r>
            <w:r w:rsidRPr="00CC2FAB">
              <w:rPr>
                <w:rFonts w:ascii="Humnst777 Lt BT" w:hAnsi="Humnst777 Lt BT"/>
              </w:rPr>
              <w:lastRenderedPageBreak/>
              <w:t>organisation to offer academic programmes together.  Collaborative programmes are primarily those where students are registered as students of the University but study in whole or in part at another organisation.  Students are registered as students of the University and receive an award from the University, the standard of which is guaranteed by the University as equivalent of the awards it delivers entirely itself.</w:t>
            </w:r>
          </w:p>
        </w:tc>
      </w:tr>
      <w:tr w:rsidR="00CC2FAB" w:rsidRPr="00CC2FAB" w:rsidTr="00EB7C33">
        <w:tc>
          <w:tcPr>
            <w:tcW w:w="2120" w:type="dxa"/>
          </w:tcPr>
          <w:p w:rsidR="00CC2FAB" w:rsidRPr="00CC2FAB" w:rsidRDefault="00CC2FAB" w:rsidP="00EB7C33">
            <w:pPr>
              <w:rPr>
                <w:rFonts w:ascii="Humnst777 Lt BT" w:hAnsi="Humnst777 Lt BT"/>
              </w:rPr>
            </w:pPr>
            <w:r w:rsidRPr="00CC2FAB">
              <w:rPr>
                <w:rFonts w:ascii="Humnst777 Lt BT" w:hAnsi="Humnst777 Lt BT"/>
              </w:rPr>
              <w:lastRenderedPageBreak/>
              <w:t>Credit</w:t>
            </w:r>
          </w:p>
          <w:p w:rsidR="00CC2FAB" w:rsidRPr="00CC2FAB" w:rsidRDefault="00CC2FAB" w:rsidP="00EB7C33">
            <w:pPr>
              <w:rPr>
                <w:rFonts w:ascii="Humnst777 Lt BT" w:hAnsi="Humnst777 Lt BT"/>
              </w:rPr>
            </w:pPr>
          </w:p>
        </w:tc>
        <w:tc>
          <w:tcPr>
            <w:tcW w:w="6437" w:type="dxa"/>
          </w:tcPr>
          <w:p w:rsidR="00CC2FAB" w:rsidRPr="00CC2FAB" w:rsidRDefault="00CC2FAB" w:rsidP="00EB7C33">
            <w:pPr>
              <w:rPr>
                <w:rFonts w:ascii="Humnst777 Lt BT" w:hAnsi="Humnst777 Lt BT"/>
              </w:rPr>
            </w:pPr>
            <w:r w:rsidRPr="00CC2FAB">
              <w:rPr>
                <w:rFonts w:ascii="Humnst777 Lt BT" w:hAnsi="Humnst777 Lt BT"/>
              </w:rPr>
              <w:t>Credit is an educational currency that provides a means of quantifying learning achieved at a given level of study. It is awarded to students who have demonstrated that they have attained the specified intended learning outcomes of a module/programme.  The amount of credit attributed or awarded is based upon an estimate of the notional average time which it would take the student to acquire the specified learning at a given level.  Credit is awarded for achievement at or above a threshold or pass level.  One credit is attributed to 10 hours of notional learning time at a specified level.</w:t>
            </w:r>
          </w:p>
          <w:p w:rsidR="00CC2FAB" w:rsidRPr="00CC2FAB" w:rsidRDefault="00CC2FAB" w:rsidP="00EB7C33">
            <w:pPr>
              <w:rPr>
                <w:rFonts w:ascii="Humnst777 Lt BT" w:hAnsi="Humnst777 Lt BT"/>
              </w:rPr>
            </w:pPr>
            <w:r w:rsidRPr="00CC2FAB">
              <w:rPr>
                <w:rFonts w:ascii="Humnst777 Lt BT" w:hAnsi="Humnst777 Lt BT"/>
              </w:rPr>
              <w:t>120 credits are attributed to the learning acquired at a particular level in a full-time academic year of approximately 30 weeks. One full-time academic year involves 1200 hours of notional learning time; one full time week involves 40 hours of notional learning time.</w:t>
            </w:r>
          </w:p>
        </w:tc>
      </w:tr>
      <w:tr w:rsidR="00CC2FAB" w:rsidRPr="00CC2FAB" w:rsidTr="00EB7C33">
        <w:trPr>
          <w:trHeight w:val="1184"/>
        </w:trPr>
        <w:tc>
          <w:tcPr>
            <w:tcW w:w="2120" w:type="dxa"/>
          </w:tcPr>
          <w:p w:rsidR="00CC2FAB" w:rsidRPr="00CC2FAB" w:rsidRDefault="00CC2FAB" w:rsidP="00EB7C33">
            <w:pPr>
              <w:rPr>
                <w:rFonts w:ascii="Humnst777 Lt BT" w:hAnsi="Humnst777 Lt BT"/>
              </w:rPr>
            </w:pPr>
            <w:r w:rsidRPr="00CC2FAB">
              <w:rPr>
                <w:rFonts w:ascii="Humnst777 Lt BT" w:hAnsi="Humnst777 Lt BT"/>
              </w:rPr>
              <w:t>Credit Framework</w:t>
            </w:r>
          </w:p>
        </w:tc>
        <w:tc>
          <w:tcPr>
            <w:tcW w:w="6437" w:type="dxa"/>
          </w:tcPr>
          <w:p w:rsidR="00CC2FAB" w:rsidRPr="00CC2FAB" w:rsidRDefault="00CC2FAB" w:rsidP="00EB7C33">
            <w:pPr>
              <w:rPr>
                <w:rFonts w:ascii="Humnst777 Lt BT" w:hAnsi="Humnst777 Lt BT"/>
              </w:rPr>
            </w:pPr>
            <w:r w:rsidRPr="00CC2FAB">
              <w:rPr>
                <w:rFonts w:ascii="Humnst777 Lt BT" w:hAnsi="Humnst777 Lt BT"/>
              </w:rPr>
              <w:t xml:space="preserve">The University currently manages the majority of its taught awards through the </w:t>
            </w:r>
            <w:r w:rsidRPr="00CC2FAB">
              <w:rPr>
                <w:rFonts w:ascii="Humnst777 Lt BT" w:hAnsi="Humnst777 Lt BT"/>
                <w:i/>
              </w:rPr>
              <w:t>Regulation and Credit Framework for the Conferment of Awards</w:t>
            </w:r>
            <w:r w:rsidRPr="00CC2FAB">
              <w:rPr>
                <w:rFonts w:ascii="Humnst777 Lt BT" w:hAnsi="Humnst777 Lt BT"/>
              </w:rPr>
              <w:t>. This sets out the architecture of taught undergraduate and taught postgraduate awards.</w:t>
            </w:r>
          </w:p>
        </w:tc>
      </w:tr>
      <w:tr w:rsidR="00CC2FAB" w:rsidRPr="00CC2FAB" w:rsidTr="00EB7C33">
        <w:tc>
          <w:tcPr>
            <w:tcW w:w="2120" w:type="dxa"/>
          </w:tcPr>
          <w:p w:rsidR="00CC2FAB" w:rsidRPr="00CC2FAB" w:rsidRDefault="00CC2FAB" w:rsidP="00EB7C33">
            <w:pPr>
              <w:keepNext/>
              <w:rPr>
                <w:rFonts w:ascii="Humnst777 Lt BT" w:hAnsi="Humnst777 Lt BT"/>
              </w:rPr>
            </w:pPr>
            <w:r w:rsidRPr="00CC2FAB">
              <w:rPr>
                <w:rFonts w:ascii="Humnst777 Lt BT" w:hAnsi="Humnst777 Lt BT"/>
              </w:rPr>
              <w:t>Distance learning</w:t>
            </w:r>
          </w:p>
        </w:tc>
        <w:tc>
          <w:tcPr>
            <w:tcW w:w="6437" w:type="dxa"/>
          </w:tcPr>
          <w:p w:rsidR="00CC2FAB" w:rsidRPr="00CC2FAB" w:rsidRDefault="00CC2FAB" w:rsidP="00EB7C33">
            <w:pPr>
              <w:pStyle w:val="BodyText3"/>
              <w:numPr>
                <w:ilvl w:val="12"/>
                <w:numId w:val="0"/>
              </w:numPr>
              <w:rPr>
                <w:rFonts w:ascii="Humnst777 Lt BT" w:hAnsi="Humnst777 Lt BT"/>
                <w:sz w:val="22"/>
                <w:szCs w:val="22"/>
              </w:rPr>
            </w:pPr>
            <w:r w:rsidRPr="00CC2FAB">
              <w:rPr>
                <w:rFonts w:ascii="Humnst777 Lt BT" w:hAnsi="Humnst777 Lt BT"/>
                <w:sz w:val="22"/>
                <w:szCs w:val="22"/>
              </w:rPr>
              <w:t>Distance learning is a mode of study in which students undertake programmes of study outside and institutional environment and usually without face-to-face tuition.  Distance Learning programme documentation requires specific information detailing how the distance learning programme will operate and be managed and how quality and standards are to be assured. Academic standards for distance learning and the quality of provision should be equivalent to those offered at the University. Distance-learning materials required for the operation of the programme must be prepared in advance of the validation process and must be presented with the proposal at these events.</w:t>
            </w:r>
            <w:r w:rsidRPr="00CC2FAB" w:rsidDel="0003590E">
              <w:rPr>
                <w:rFonts w:ascii="Humnst777 Lt BT" w:hAnsi="Humnst777 Lt BT"/>
                <w:sz w:val="22"/>
                <w:szCs w:val="22"/>
              </w:rPr>
              <w:t xml:space="preserve"> </w:t>
            </w:r>
          </w:p>
        </w:tc>
      </w:tr>
      <w:tr w:rsidR="00CC2FAB" w:rsidRPr="00CC2FAB" w:rsidTr="00EB7C33">
        <w:tc>
          <w:tcPr>
            <w:tcW w:w="2120" w:type="dxa"/>
          </w:tcPr>
          <w:p w:rsidR="00CC2FAB" w:rsidRPr="00CC2FAB" w:rsidRDefault="00CC2FAB" w:rsidP="00EB7C33">
            <w:pPr>
              <w:rPr>
                <w:rFonts w:ascii="Humnst777 Lt BT" w:hAnsi="Humnst777 Lt BT"/>
              </w:rPr>
            </w:pPr>
            <w:r w:rsidRPr="00CC2FAB">
              <w:rPr>
                <w:rFonts w:ascii="Humnst777 Lt BT" w:hAnsi="Humnst777 Lt BT"/>
              </w:rPr>
              <w:t>Framework for Higher Education Qualifications</w:t>
            </w:r>
          </w:p>
        </w:tc>
        <w:tc>
          <w:tcPr>
            <w:tcW w:w="6437" w:type="dxa"/>
          </w:tcPr>
          <w:p w:rsidR="00CC2FAB" w:rsidRPr="00CC2FAB" w:rsidRDefault="00CC2FAB" w:rsidP="00EB7C33">
            <w:pPr>
              <w:rPr>
                <w:rFonts w:ascii="Humnst777 Lt BT" w:hAnsi="Humnst777 Lt BT"/>
              </w:rPr>
            </w:pPr>
            <w:r w:rsidRPr="00CC2FAB">
              <w:rPr>
                <w:rFonts w:ascii="Humnst777 Lt BT" w:hAnsi="Humnst777 Lt BT"/>
              </w:rPr>
              <w:t xml:space="preserve">The main purposes of </w:t>
            </w:r>
            <w:r w:rsidRPr="00CC2FAB">
              <w:rPr>
                <w:rFonts w:ascii="Humnst777 Lt BT" w:hAnsi="Humnst777 Lt BT"/>
                <w:i/>
              </w:rPr>
              <w:t>The framework for higher education qualifications in England, Wales and Northern Ireland</w:t>
            </w:r>
            <w:r w:rsidRPr="00CC2FAB">
              <w:rPr>
                <w:rFonts w:ascii="Humnst777 Lt BT" w:hAnsi="Humnst777 Lt BT"/>
              </w:rPr>
              <w:t xml:space="preserve"> (FHEQ), as summarised form page 6 of  the second edition of the framework (August 2008) are:</w:t>
            </w:r>
          </w:p>
          <w:p w:rsidR="00CC2FAB" w:rsidRPr="00CC2FAB" w:rsidRDefault="00CC2FAB" w:rsidP="00CC2FAB">
            <w:pPr>
              <w:pStyle w:val="ListParagraph"/>
              <w:numPr>
                <w:ilvl w:val="0"/>
                <w:numId w:val="5"/>
              </w:numPr>
              <w:ind w:left="771" w:hanging="357"/>
              <w:rPr>
                <w:rFonts w:ascii="Humnst777 Lt BT" w:hAnsi="Humnst777 Lt BT"/>
                <w:sz w:val="22"/>
                <w:szCs w:val="22"/>
              </w:rPr>
            </w:pPr>
            <w:r w:rsidRPr="00CC2FAB">
              <w:rPr>
                <w:rFonts w:ascii="Humnst777 Lt BT" w:hAnsi="Humnst777 Lt BT"/>
                <w:sz w:val="22"/>
                <w:szCs w:val="22"/>
              </w:rPr>
              <w:t>To provide reference points to set and assess standards</w:t>
            </w:r>
          </w:p>
          <w:p w:rsidR="00CC2FAB" w:rsidRPr="00CC2FAB" w:rsidRDefault="00CC2FAB" w:rsidP="00CC2FAB">
            <w:pPr>
              <w:pStyle w:val="ListParagraph"/>
              <w:numPr>
                <w:ilvl w:val="0"/>
                <w:numId w:val="5"/>
              </w:numPr>
              <w:ind w:left="771" w:hanging="357"/>
              <w:rPr>
                <w:rFonts w:ascii="Humnst777 Lt BT" w:hAnsi="Humnst777 Lt BT"/>
                <w:sz w:val="22"/>
                <w:szCs w:val="22"/>
              </w:rPr>
            </w:pPr>
            <w:r w:rsidRPr="00CC2FAB">
              <w:rPr>
                <w:rFonts w:ascii="Humnst777 Lt BT" w:hAnsi="Humnst777 Lt BT"/>
                <w:sz w:val="22"/>
                <w:szCs w:val="22"/>
              </w:rPr>
              <w:t>Assist in indicating progression routes</w:t>
            </w:r>
          </w:p>
          <w:p w:rsidR="00CC2FAB" w:rsidRPr="00CC2FAB" w:rsidRDefault="00CC2FAB" w:rsidP="00CC2FAB">
            <w:pPr>
              <w:pStyle w:val="ListParagraph"/>
              <w:numPr>
                <w:ilvl w:val="0"/>
                <w:numId w:val="5"/>
              </w:numPr>
              <w:ind w:left="771" w:hanging="357"/>
              <w:rPr>
                <w:rFonts w:ascii="Humnst777 Lt BT" w:hAnsi="Humnst777 Lt BT"/>
                <w:sz w:val="22"/>
                <w:szCs w:val="22"/>
              </w:rPr>
            </w:pPr>
            <w:r w:rsidRPr="00CC2FAB">
              <w:rPr>
                <w:rFonts w:ascii="Humnst777 Lt BT" w:hAnsi="Humnst777 Lt BT"/>
                <w:sz w:val="22"/>
                <w:szCs w:val="22"/>
              </w:rPr>
              <w:t>Promote a shared understanding of expectations associated with typical qualifications.</w:t>
            </w:r>
          </w:p>
          <w:p w:rsidR="00CC2FAB" w:rsidRPr="00CC2FAB" w:rsidRDefault="00CC2FAB" w:rsidP="00EB7C33">
            <w:pPr>
              <w:rPr>
                <w:rFonts w:ascii="Humnst777 Lt BT" w:hAnsi="Humnst777 Lt BT"/>
              </w:rPr>
            </w:pPr>
            <w:r w:rsidRPr="00CC2FAB">
              <w:rPr>
                <w:rFonts w:ascii="Humnst777 Lt BT" w:hAnsi="Humnst777 Lt BT"/>
              </w:rPr>
              <w:t>The framework provides level descriptors at levels 4-8.  The design of University programmes embeds the FHEQ.  Level descriptors must be utilised in programme design.</w:t>
            </w:r>
          </w:p>
          <w:p w:rsidR="00CC2FAB" w:rsidRPr="00CC2FAB" w:rsidRDefault="00CC2FAB" w:rsidP="00EB7C33">
            <w:pPr>
              <w:rPr>
                <w:rFonts w:ascii="Humnst777 Lt BT" w:hAnsi="Humnst777 Lt BT"/>
              </w:rPr>
            </w:pPr>
            <w:r w:rsidRPr="00CC2FAB">
              <w:rPr>
                <w:rFonts w:ascii="Humnst777 Lt BT" w:hAnsi="Humnst777 Lt BT"/>
              </w:rPr>
              <w:lastRenderedPageBreak/>
              <w:t xml:space="preserve">This will be subsumed within Section A of the </w:t>
            </w:r>
            <w:r w:rsidRPr="00CC2FAB">
              <w:rPr>
                <w:rFonts w:ascii="Humnst777 Lt BT" w:hAnsi="Humnst777 Lt BT"/>
                <w:i/>
                <w:iCs/>
              </w:rPr>
              <w:t>UK Quality Code for Higher Education</w:t>
            </w:r>
            <w:r w:rsidRPr="00CC2FAB">
              <w:rPr>
                <w:rFonts w:ascii="Humnst777 Lt BT" w:hAnsi="Humnst777 Lt BT"/>
                <w:iCs/>
              </w:rPr>
              <w:t xml:space="preserve"> (qv)</w:t>
            </w:r>
            <w:r w:rsidRPr="00CC2FAB">
              <w:rPr>
                <w:rFonts w:ascii="Humnst777 Lt BT" w:hAnsi="Humnst777 Lt BT"/>
              </w:rPr>
              <w:t>.</w:t>
            </w:r>
          </w:p>
          <w:p w:rsidR="00CC2FAB" w:rsidRPr="00CC2FAB" w:rsidRDefault="00CC2FAB" w:rsidP="00EB7C33">
            <w:pPr>
              <w:rPr>
                <w:rFonts w:ascii="Humnst777 Lt BT" w:hAnsi="Humnst777 Lt BT"/>
              </w:rPr>
            </w:pPr>
            <w:r w:rsidRPr="00CC2FAB">
              <w:rPr>
                <w:rFonts w:ascii="Humnst777 Lt BT" w:hAnsi="Humnst777 Lt BT"/>
              </w:rPr>
              <w:t>See also Higher education credit framework for England.</w:t>
            </w:r>
          </w:p>
        </w:tc>
      </w:tr>
      <w:tr w:rsidR="00CC2FAB" w:rsidRPr="00CC2FAB" w:rsidTr="00EB7C33">
        <w:tc>
          <w:tcPr>
            <w:tcW w:w="2120" w:type="dxa"/>
          </w:tcPr>
          <w:p w:rsidR="00CC2FAB" w:rsidRPr="00CC2FAB" w:rsidRDefault="00CC2FAB" w:rsidP="00EB7C33">
            <w:pPr>
              <w:rPr>
                <w:rFonts w:ascii="Humnst777 Lt BT" w:hAnsi="Humnst777 Lt BT"/>
              </w:rPr>
            </w:pPr>
            <w:r w:rsidRPr="00CC2FAB">
              <w:rPr>
                <w:rFonts w:ascii="Humnst777 Lt BT" w:hAnsi="Humnst777 Lt BT"/>
              </w:rPr>
              <w:lastRenderedPageBreak/>
              <w:t>Franchise</w:t>
            </w:r>
          </w:p>
        </w:tc>
        <w:tc>
          <w:tcPr>
            <w:tcW w:w="6437" w:type="dxa"/>
          </w:tcPr>
          <w:p w:rsidR="00CC2FAB" w:rsidRPr="00CC2FAB" w:rsidRDefault="00CC2FAB" w:rsidP="00EB7C33">
            <w:pPr>
              <w:rPr>
                <w:rFonts w:ascii="Humnst777 Lt BT" w:hAnsi="Humnst777 Lt BT"/>
              </w:rPr>
            </w:pPr>
            <w:r w:rsidRPr="00CC2FAB">
              <w:rPr>
                <w:rFonts w:ascii="Humnst777 Lt BT" w:hAnsi="Humnst777 Lt BT"/>
              </w:rPr>
              <w:t>A collaborative provision arrangement where a partner works with the University to confer a University award or credit that has been developed within the University.</w:t>
            </w:r>
          </w:p>
        </w:tc>
      </w:tr>
      <w:tr w:rsidR="00CC2FAB" w:rsidRPr="00CC2FAB" w:rsidTr="00EB7C33">
        <w:tc>
          <w:tcPr>
            <w:tcW w:w="2120" w:type="dxa"/>
          </w:tcPr>
          <w:p w:rsidR="00CC2FAB" w:rsidRPr="00CC2FAB" w:rsidRDefault="00CC2FAB" w:rsidP="00EB7C33">
            <w:pPr>
              <w:rPr>
                <w:rFonts w:ascii="Humnst777 Lt BT" w:hAnsi="Humnst777 Lt BT"/>
              </w:rPr>
            </w:pPr>
            <w:r w:rsidRPr="00CC2FAB">
              <w:rPr>
                <w:rFonts w:ascii="Humnst777 Lt BT" w:hAnsi="Humnst777 Lt BT"/>
              </w:rPr>
              <w:t>Higher education credit framework for England</w:t>
            </w:r>
          </w:p>
        </w:tc>
        <w:tc>
          <w:tcPr>
            <w:tcW w:w="6437" w:type="dxa"/>
          </w:tcPr>
          <w:p w:rsidR="00CC2FAB" w:rsidRPr="00CC2FAB" w:rsidRDefault="00CC2FAB" w:rsidP="00EB7C33">
            <w:pPr>
              <w:rPr>
                <w:rFonts w:ascii="Humnst777 Lt BT" w:hAnsi="Humnst777 Lt BT"/>
              </w:rPr>
            </w:pPr>
            <w:r w:rsidRPr="00CC2FAB">
              <w:rPr>
                <w:rFonts w:ascii="Humnst777 Lt BT" w:hAnsi="Humnst777 Lt BT"/>
              </w:rPr>
              <w:t xml:space="preserve">The </w:t>
            </w:r>
            <w:r w:rsidRPr="00CC2FAB">
              <w:rPr>
                <w:rFonts w:ascii="Humnst777 Lt BT" w:hAnsi="Humnst777 Lt BT"/>
                <w:i/>
              </w:rPr>
              <w:t xml:space="preserve">Higher education credit framework for England: guidance on academic credit arrangements in higher education in England </w:t>
            </w:r>
            <w:r w:rsidRPr="00CC2FAB">
              <w:rPr>
                <w:rFonts w:ascii="Humnst777 Lt BT" w:hAnsi="Humnst777 Lt BT"/>
              </w:rPr>
              <w:t>(August 2008) offers guidance for programme credit arrangements.  Please note that the University does not offer all these awards.</w:t>
            </w:r>
          </w:p>
        </w:tc>
      </w:tr>
      <w:tr w:rsidR="00CC2FAB" w:rsidRPr="00CC2FAB" w:rsidTr="00EB7C33">
        <w:tc>
          <w:tcPr>
            <w:tcW w:w="2120" w:type="dxa"/>
          </w:tcPr>
          <w:p w:rsidR="00CC2FAB" w:rsidRPr="00CC2FAB" w:rsidRDefault="00CC2FAB" w:rsidP="00EB7C33">
            <w:pPr>
              <w:rPr>
                <w:rFonts w:ascii="Humnst777 Lt BT" w:hAnsi="Humnst777 Lt BT"/>
              </w:rPr>
            </w:pPr>
            <w:r w:rsidRPr="00CC2FAB">
              <w:rPr>
                <w:rFonts w:ascii="Humnst777 Lt BT" w:hAnsi="Humnst777 Lt BT"/>
              </w:rPr>
              <w:t>Intended learning outcome</w:t>
            </w:r>
          </w:p>
        </w:tc>
        <w:tc>
          <w:tcPr>
            <w:tcW w:w="6437" w:type="dxa"/>
            <w:vAlign w:val="center"/>
          </w:tcPr>
          <w:p w:rsidR="00CC2FAB" w:rsidRPr="00CC2FAB" w:rsidRDefault="00CC2FAB" w:rsidP="00EB7C33">
            <w:pPr>
              <w:rPr>
                <w:rFonts w:ascii="Humnst777 Lt BT" w:hAnsi="Humnst777 Lt BT" w:cs="Tahoma"/>
              </w:rPr>
            </w:pPr>
            <w:r w:rsidRPr="00CC2FAB">
              <w:rPr>
                <w:rFonts w:ascii="Humnst777 Lt BT" w:hAnsi="Humnst777 Lt BT"/>
              </w:rPr>
              <w:t>Intended Learning Outcomes identify what a successful student is expected to achieve on the completion of an award.  They embody the educational purposes and values of the overall learning experience within a programme of study and provide the strategic framework for the process of learning.</w:t>
            </w:r>
          </w:p>
        </w:tc>
      </w:tr>
      <w:tr w:rsidR="00CC2FAB" w:rsidRPr="00CC2FAB" w:rsidTr="00EB7C33">
        <w:tc>
          <w:tcPr>
            <w:tcW w:w="2120" w:type="dxa"/>
          </w:tcPr>
          <w:p w:rsidR="00CC2FAB" w:rsidRPr="00CC2FAB" w:rsidRDefault="00CC2FAB" w:rsidP="00EB7C33">
            <w:pPr>
              <w:rPr>
                <w:rFonts w:ascii="Humnst777 Lt BT" w:hAnsi="Humnst777 Lt BT"/>
              </w:rPr>
            </w:pPr>
            <w:r w:rsidRPr="00CC2FAB">
              <w:rPr>
                <w:rFonts w:ascii="Humnst777 Lt BT" w:hAnsi="Humnst777 Lt BT"/>
              </w:rPr>
              <w:t>Level</w:t>
            </w:r>
          </w:p>
        </w:tc>
        <w:tc>
          <w:tcPr>
            <w:tcW w:w="6437" w:type="dxa"/>
          </w:tcPr>
          <w:p w:rsidR="00CC2FAB" w:rsidRPr="00CC2FAB" w:rsidRDefault="00CC2FAB" w:rsidP="00EB7C33">
            <w:pPr>
              <w:rPr>
                <w:rFonts w:ascii="Humnst777 Lt BT" w:hAnsi="Humnst777 Lt BT"/>
              </w:rPr>
            </w:pPr>
            <w:r w:rsidRPr="00CC2FAB">
              <w:rPr>
                <w:rFonts w:ascii="Humnst777 Lt BT" w:hAnsi="Humnst777 Lt BT"/>
              </w:rPr>
              <w:t xml:space="preserve">The University recognises the following higher education levels of achievement: </w:t>
            </w:r>
          </w:p>
          <w:p w:rsidR="00CC2FAB" w:rsidRPr="00CC2FAB" w:rsidRDefault="00CC2FAB" w:rsidP="00EB7C33">
            <w:pPr>
              <w:rPr>
                <w:rFonts w:ascii="Humnst777 Lt BT" w:hAnsi="Humnst777 Lt BT"/>
              </w:rPr>
            </w:pPr>
            <w:r w:rsidRPr="00CC2FAB">
              <w:rPr>
                <w:rFonts w:ascii="Humnst777 Lt BT" w:hAnsi="Humnst777 Lt BT"/>
              </w:rPr>
              <w:t xml:space="preserve">Level 0: </w:t>
            </w:r>
            <w:r w:rsidR="00402FC2" w:rsidRPr="00402FC2">
              <w:rPr>
                <w:rFonts w:ascii="Humnst777 Lt BT" w:hAnsi="Humnst777 Lt BT"/>
              </w:rPr>
              <w:t>University learning, such as a Foundation Year of a degree, that does not result in the award of HE credit but may comprise the first year of a four-year programme of study.</w:t>
            </w:r>
          </w:p>
          <w:p w:rsidR="00CC2FAB" w:rsidRPr="00CC2FAB" w:rsidRDefault="00CC2FAB" w:rsidP="00EB7C33">
            <w:pPr>
              <w:rPr>
                <w:rFonts w:ascii="Humnst777 Lt BT" w:hAnsi="Humnst777 Lt BT"/>
              </w:rPr>
            </w:pPr>
            <w:r w:rsidRPr="00CC2FAB">
              <w:rPr>
                <w:rFonts w:ascii="Humnst777 Lt BT" w:hAnsi="Humnst777 Lt BT"/>
              </w:rPr>
              <w:t>Level 4: Certificates of Higher Education</w:t>
            </w:r>
          </w:p>
          <w:p w:rsidR="00CC2FAB" w:rsidRPr="00CC2FAB" w:rsidRDefault="00CC2FAB" w:rsidP="00EB7C33">
            <w:pPr>
              <w:rPr>
                <w:rFonts w:ascii="Humnst777 Lt BT" w:hAnsi="Humnst777 Lt BT"/>
              </w:rPr>
            </w:pPr>
            <w:r w:rsidRPr="00CC2FAB">
              <w:rPr>
                <w:rFonts w:ascii="Humnst777 Lt BT" w:hAnsi="Humnst777 Lt BT"/>
              </w:rPr>
              <w:t>Level 5: Foundation degrees, Diplomas of Higher Education</w:t>
            </w:r>
          </w:p>
          <w:p w:rsidR="00CC2FAB" w:rsidRPr="00CC2FAB" w:rsidRDefault="00CC2FAB" w:rsidP="00EB7C33">
            <w:pPr>
              <w:rPr>
                <w:rFonts w:ascii="Humnst777 Lt BT" w:hAnsi="Humnst777 Lt BT"/>
              </w:rPr>
            </w:pPr>
            <w:r w:rsidRPr="00CC2FAB">
              <w:rPr>
                <w:rFonts w:ascii="Humnst777 Lt BT" w:hAnsi="Humnst777 Lt BT"/>
              </w:rPr>
              <w:t>Level 6: Ordinary (Bachelors) degrees, Bachelor’s degrees with Honours, Graduate Certificates and Graduate Diplomas, Professional Graduate Certificates in Education</w:t>
            </w:r>
          </w:p>
          <w:p w:rsidR="00CC2FAB" w:rsidRPr="00CC2FAB" w:rsidRDefault="00CC2FAB" w:rsidP="00EB7C33">
            <w:pPr>
              <w:rPr>
                <w:rFonts w:ascii="Humnst777 Lt BT" w:hAnsi="Humnst777 Lt BT"/>
              </w:rPr>
            </w:pPr>
            <w:r w:rsidRPr="00CC2FAB">
              <w:rPr>
                <w:rFonts w:ascii="Humnst777 Lt BT" w:hAnsi="Humnst777 Lt BT"/>
              </w:rPr>
              <w:t>Level 7: Masters degrees, Postgraduate Certificates, Postgraduate Diplomas, Post-graduate Certificates in Education</w:t>
            </w:r>
          </w:p>
          <w:p w:rsidR="00CC2FAB" w:rsidRPr="00CC2FAB" w:rsidRDefault="00CC2FAB" w:rsidP="00EB7C33">
            <w:pPr>
              <w:rPr>
                <w:rFonts w:ascii="Humnst777 Lt BT" w:hAnsi="Humnst777 Lt BT"/>
              </w:rPr>
            </w:pPr>
            <w:r w:rsidRPr="00CC2FAB">
              <w:rPr>
                <w:rFonts w:ascii="Humnst777 Lt BT" w:hAnsi="Humnst777 Lt BT"/>
              </w:rPr>
              <w:t>Level 8: Doctorates</w:t>
            </w:r>
          </w:p>
        </w:tc>
      </w:tr>
      <w:tr w:rsidR="00CC2FAB" w:rsidRPr="00CC2FAB" w:rsidTr="00EB7C33">
        <w:tc>
          <w:tcPr>
            <w:tcW w:w="2120" w:type="dxa"/>
          </w:tcPr>
          <w:p w:rsidR="00CC2FAB" w:rsidRPr="00CC2FAB" w:rsidRDefault="00CC2FAB" w:rsidP="00EB7C33">
            <w:pPr>
              <w:rPr>
                <w:rFonts w:ascii="Humnst777 Lt BT" w:hAnsi="Humnst777 Lt BT"/>
              </w:rPr>
            </w:pPr>
            <w:r w:rsidRPr="00CC2FAB">
              <w:rPr>
                <w:rFonts w:ascii="Humnst777 Lt BT" w:hAnsi="Humnst777 Lt BT"/>
              </w:rPr>
              <w:t>Module</w:t>
            </w:r>
          </w:p>
          <w:p w:rsidR="00CC2FAB" w:rsidRPr="00CC2FAB" w:rsidRDefault="00CC2FAB" w:rsidP="00EB7C33">
            <w:pPr>
              <w:rPr>
                <w:rFonts w:ascii="Humnst777 Lt BT" w:hAnsi="Humnst777 Lt BT"/>
              </w:rPr>
            </w:pPr>
          </w:p>
        </w:tc>
        <w:tc>
          <w:tcPr>
            <w:tcW w:w="6437" w:type="dxa"/>
          </w:tcPr>
          <w:p w:rsidR="00CC2FAB" w:rsidRPr="00CC2FAB" w:rsidRDefault="00CC2FAB" w:rsidP="00EB7C33">
            <w:pPr>
              <w:rPr>
                <w:rFonts w:ascii="Humnst777 Lt BT" w:hAnsi="Humnst777 Lt BT"/>
              </w:rPr>
            </w:pPr>
            <w:r w:rsidRPr="00CC2FAB">
              <w:rPr>
                <w:rFonts w:ascii="Humnst777 Lt BT" w:hAnsi="Humnst777 Lt BT"/>
              </w:rPr>
              <w:t>A module is a component of study within a programme.  Each module has its own aims and intended learning outcomes which are assessed during that module.  A University module normally represents a notional 200 hours of study and carries 20 credits.</w:t>
            </w:r>
          </w:p>
        </w:tc>
      </w:tr>
      <w:tr w:rsidR="00CC2FAB" w:rsidRPr="00CC2FAB" w:rsidTr="00EB7C33">
        <w:tc>
          <w:tcPr>
            <w:tcW w:w="2120" w:type="dxa"/>
          </w:tcPr>
          <w:p w:rsidR="00CC2FAB" w:rsidRPr="00CC2FAB" w:rsidRDefault="00CC2FAB" w:rsidP="00EB7C33">
            <w:pPr>
              <w:rPr>
                <w:rFonts w:ascii="Humnst777 Lt BT" w:hAnsi="Humnst777 Lt BT"/>
              </w:rPr>
            </w:pPr>
            <w:r w:rsidRPr="00CC2FAB">
              <w:rPr>
                <w:rFonts w:ascii="Humnst777 Lt BT" w:hAnsi="Humnst777 Lt BT"/>
              </w:rPr>
              <w:t>Non-credit bearing programmes and courses</w:t>
            </w:r>
          </w:p>
        </w:tc>
        <w:tc>
          <w:tcPr>
            <w:tcW w:w="6437" w:type="dxa"/>
          </w:tcPr>
          <w:p w:rsidR="00CC2FAB" w:rsidRPr="00CC2FAB" w:rsidRDefault="00CC2FAB" w:rsidP="00EB7C33">
            <w:pPr>
              <w:rPr>
                <w:rFonts w:ascii="Humnst777 Lt BT" w:hAnsi="Humnst777 Lt BT"/>
              </w:rPr>
            </w:pPr>
            <w:r w:rsidRPr="00CC2FAB">
              <w:rPr>
                <w:rFonts w:ascii="Humnst777 Lt BT" w:hAnsi="Humnst777 Lt BT"/>
              </w:rPr>
              <w:t>Programmes and courses that do not carry credit at levels 4-8 but offer an award of the University are subject to the same regulation and procedures as credit bearing programmes.</w:t>
            </w:r>
          </w:p>
        </w:tc>
      </w:tr>
      <w:tr w:rsidR="00CC2FAB" w:rsidRPr="00CC2FAB" w:rsidTr="00EB7C33">
        <w:tc>
          <w:tcPr>
            <w:tcW w:w="2120" w:type="dxa"/>
          </w:tcPr>
          <w:p w:rsidR="00CC2FAB" w:rsidRPr="00CC2FAB" w:rsidDel="0074768A" w:rsidRDefault="00CC2FAB" w:rsidP="00EB7C33">
            <w:pPr>
              <w:rPr>
                <w:rFonts w:ascii="Humnst777 Lt BT" w:hAnsi="Humnst777 Lt BT"/>
              </w:rPr>
            </w:pPr>
            <w:r w:rsidRPr="00CC2FAB">
              <w:rPr>
                <w:rFonts w:ascii="Humnst777 Lt BT" w:hAnsi="Humnst777 Lt BT"/>
              </w:rPr>
              <w:t>Pathway</w:t>
            </w:r>
          </w:p>
        </w:tc>
        <w:tc>
          <w:tcPr>
            <w:tcW w:w="6437" w:type="dxa"/>
          </w:tcPr>
          <w:p w:rsidR="00CC2FAB" w:rsidRPr="00CC2FAB" w:rsidDel="0074768A" w:rsidRDefault="00CC2FAB" w:rsidP="00EB7C33">
            <w:pPr>
              <w:rPr>
                <w:rFonts w:ascii="Humnst777 Lt BT" w:hAnsi="Humnst777 Lt BT"/>
              </w:rPr>
            </w:pPr>
            <w:r w:rsidRPr="00CC2FAB">
              <w:rPr>
                <w:rFonts w:ascii="Humnst777 Lt BT" w:hAnsi="Humnst777 Lt BT"/>
              </w:rPr>
              <w:t>A pathway is normally used to denote a route through a programme that carries a discrete award of the University.</w:t>
            </w:r>
          </w:p>
        </w:tc>
      </w:tr>
      <w:tr w:rsidR="00CC2FAB" w:rsidRPr="00CC2FAB" w:rsidTr="00EB7C33">
        <w:tc>
          <w:tcPr>
            <w:tcW w:w="2120" w:type="dxa"/>
          </w:tcPr>
          <w:p w:rsidR="00CC2FAB" w:rsidRPr="00CC2FAB" w:rsidRDefault="00CC2FAB" w:rsidP="00EB7C33">
            <w:pPr>
              <w:rPr>
                <w:rFonts w:ascii="Humnst777 Lt BT" w:hAnsi="Humnst777 Lt BT"/>
              </w:rPr>
            </w:pPr>
            <w:r w:rsidRPr="00CC2FAB">
              <w:rPr>
                <w:rFonts w:ascii="Humnst777 Lt BT" w:hAnsi="Humnst777 Lt BT"/>
              </w:rPr>
              <w:t>Programme</w:t>
            </w:r>
          </w:p>
          <w:p w:rsidR="00CC2FAB" w:rsidRPr="00CC2FAB" w:rsidRDefault="00CC2FAB" w:rsidP="00EB7C33">
            <w:pPr>
              <w:rPr>
                <w:rFonts w:ascii="Humnst777 Lt BT" w:hAnsi="Humnst777 Lt BT"/>
              </w:rPr>
            </w:pPr>
          </w:p>
        </w:tc>
        <w:tc>
          <w:tcPr>
            <w:tcW w:w="6437" w:type="dxa"/>
          </w:tcPr>
          <w:p w:rsidR="00CC2FAB" w:rsidRPr="00CC2FAB" w:rsidRDefault="00CC2FAB" w:rsidP="00EB7C33">
            <w:pPr>
              <w:rPr>
                <w:rFonts w:ascii="Humnst777 Lt BT" w:hAnsi="Humnst777 Lt BT"/>
              </w:rPr>
            </w:pPr>
            <w:r w:rsidRPr="00CC2FAB">
              <w:rPr>
                <w:rFonts w:ascii="Humnst777 Lt BT" w:hAnsi="Humnst777 Lt BT"/>
              </w:rPr>
              <w:t>A programme is an approved curriculum which provides a coherent academic experience, expressed in its generic aims and objectives, followed by a registered student and leading to a named award.  A programme is also a term used for the work in one subject within a combined honours degree.  It may also refer to the main pathways through a modular scheme, which may itself include several subjects.  A programme normally comprises a minimum of 60 credits and normally corresponds to qualification in the FHEQ.</w:t>
            </w:r>
          </w:p>
        </w:tc>
      </w:tr>
      <w:tr w:rsidR="00CC2FAB" w:rsidRPr="00CC2FAB" w:rsidTr="00EB7C33">
        <w:tc>
          <w:tcPr>
            <w:tcW w:w="2120" w:type="dxa"/>
          </w:tcPr>
          <w:p w:rsidR="00CC2FAB" w:rsidRPr="00CC2FAB" w:rsidRDefault="00CC2FAB" w:rsidP="00EB7C33">
            <w:pPr>
              <w:rPr>
                <w:rFonts w:ascii="Humnst777 Lt BT" w:hAnsi="Humnst777 Lt BT"/>
              </w:rPr>
            </w:pPr>
            <w:r w:rsidRPr="00CC2FAB">
              <w:rPr>
                <w:rFonts w:ascii="Humnst777 Lt BT" w:hAnsi="Humnst777 Lt BT"/>
              </w:rPr>
              <w:t>Progression accord</w:t>
            </w:r>
          </w:p>
        </w:tc>
        <w:tc>
          <w:tcPr>
            <w:tcW w:w="6437" w:type="dxa"/>
          </w:tcPr>
          <w:p w:rsidR="00CC2FAB" w:rsidRPr="00CC2FAB" w:rsidRDefault="00CC2FAB" w:rsidP="00EB7C33">
            <w:pPr>
              <w:rPr>
                <w:rFonts w:ascii="Humnst777 Lt BT" w:hAnsi="Humnst777 Lt BT"/>
              </w:rPr>
            </w:pPr>
            <w:r w:rsidRPr="00CC2FAB">
              <w:rPr>
                <w:rFonts w:ascii="Humnst777 Lt BT" w:hAnsi="Humnst777 Lt BT"/>
              </w:rPr>
              <w:t xml:space="preserve">A formal agreement that allows a student who completes one qualification entry to another, subject to any limitations imposed by the accord.  Where limitations exist, they may include specific levels of achievement on the award that has </w:t>
            </w:r>
            <w:r w:rsidRPr="00CC2FAB">
              <w:rPr>
                <w:rFonts w:ascii="Humnst777 Lt BT" w:hAnsi="Humnst777 Lt BT"/>
              </w:rPr>
              <w:lastRenderedPageBreak/>
              <w:t>been completed, or additional hurdles such as an interview.  Unlike an Articulation Agreement (qv), the institution receiving the student does not take any responsibility for the standards of the award to be achieved for entry.</w:t>
            </w:r>
          </w:p>
        </w:tc>
      </w:tr>
      <w:tr w:rsidR="00CC2FAB" w:rsidRPr="00CC2FAB" w:rsidTr="00EB7C33">
        <w:tc>
          <w:tcPr>
            <w:tcW w:w="2120" w:type="dxa"/>
          </w:tcPr>
          <w:p w:rsidR="00CC2FAB" w:rsidRPr="00CC2FAB" w:rsidRDefault="00CC2FAB" w:rsidP="00EB7C33">
            <w:pPr>
              <w:rPr>
                <w:rFonts w:ascii="Humnst777 Lt BT" w:hAnsi="Humnst777 Lt BT"/>
              </w:rPr>
            </w:pPr>
            <w:r w:rsidRPr="00CC2FAB">
              <w:rPr>
                <w:rFonts w:ascii="Humnst777 Lt BT" w:hAnsi="Humnst777 Lt BT"/>
              </w:rPr>
              <w:lastRenderedPageBreak/>
              <w:t>Quality Strategy Group</w:t>
            </w:r>
          </w:p>
        </w:tc>
        <w:tc>
          <w:tcPr>
            <w:tcW w:w="6437" w:type="dxa"/>
          </w:tcPr>
          <w:p w:rsidR="00CC2FAB" w:rsidRPr="00CC2FAB" w:rsidRDefault="00CC2FAB" w:rsidP="00EB7C33">
            <w:pPr>
              <w:rPr>
                <w:rFonts w:ascii="Humnst777 Lt BT" w:hAnsi="Humnst777 Lt BT"/>
                <w:lang w:val="en-US"/>
              </w:rPr>
            </w:pPr>
            <w:r w:rsidRPr="00CC2FAB">
              <w:rPr>
                <w:rFonts w:ascii="Humnst777 Lt BT" w:hAnsi="Humnst777 Lt BT"/>
                <w:lang w:val="en-US"/>
              </w:rPr>
              <w:t>A Group, comprising key members of the QSO and the Faculty Directors of Quality, which meets monthly to consider key strategic and operational issues relating to academic quality.  It is not a decision-making body and it is not a substitute for University-wide consultation or for the deliberative function of University committees and sub-committees.</w:t>
            </w:r>
          </w:p>
        </w:tc>
      </w:tr>
      <w:tr w:rsidR="00CC2FAB" w:rsidRPr="00CC2FAB" w:rsidTr="00EB7C33">
        <w:tc>
          <w:tcPr>
            <w:tcW w:w="2120" w:type="dxa"/>
          </w:tcPr>
          <w:p w:rsidR="00CC2FAB" w:rsidRPr="00CC2FAB" w:rsidRDefault="00CC2FAB" w:rsidP="00EB7C33">
            <w:pPr>
              <w:rPr>
                <w:rFonts w:ascii="Humnst777 Lt BT" w:hAnsi="Humnst777 Lt BT"/>
              </w:rPr>
            </w:pPr>
            <w:r w:rsidRPr="00CC2FAB">
              <w:rPr>
                <w:rFonts w:ascii="Humnst777 Lt BT" w:hAnsi="Humnst777 Lt BT"/>
              </w:rPr>
              <w:t>Regulations</w:t>
            </w:r>
          </w:p>
        </w:tc>
        <w:tc>
          <w:tcPr>
            <w:tcW w:w="6437" w:type="dxa"/>
          </w:tcPr>
          <w:p w:rsidR="00CC2FAB" w:rsidRPr="00CC2FAB" w:rsidRDefault="00CC2FAB" w:rsidP="00EB7C33">
            <w:pPr>
              <w:rPr>
                <w:rFonts w:ascii="Humnst777 Lt BT" w:hAnsi="Humnst777 Lt BT"/>
              </w:rPr>
            </w:pPr>
            <w:r w:rsidRPr="00CC2FAB">
              <w:rPr>
                <w:rFonts w:ascii="Humnst777 Lt BT" w:hAnsi="Humnst777 Lt BT"/>
              </w:rPr>
              <w:t xml:space="preserve">A set of rules and requirements passed by Academic Board that must be followed.  These may relate to the whole of the academic portfolio or be specific to a programme.  Regulations cannot be set aside or qualified by a subsidiary process.  The University’s regulations are set out in the </w:t>
            </w:r>
            <w:r w:rsidRPr="00CC2FAB">
              <w:rPr>
                <w:rFonts w:ascii="Humnst777 Lt BT" w:hAnsi="Humnst777 Lt BT"/>
                <w:i/>
              </w:rPr>
              <w:t>Regulation and Credit Framework for the Conferment of Awards</w:t>
            </w:r>
            <w:r w:rsidRPr="00CC2FAB">
              <w:rPr>
                <w:rFonts w:ascii="Humnst777 Lt BT" w:hAnsi="Humnst777 Lt BT"/>
              </w:rPr>
              <w:t xml:space="preserve">. </w:t>
            </w:r>
          </w:p>
        </w:tc>
      </w:tr>
      <w:tr w:rsidR="00CC2FAB" w:rsidRPr="00CC2FAB" w:rsidTr="00EB7C33">
        <w:trPr>
          <w:trHeight w:val="739"/>
        </w:trPr>
        <w:tc>
          <w:tcPr>
            <w:tcW w:w="2120" w:type="dxa"/>
          </w:tcPr>
          <w:p w:rsidR="00CC2FAB" w:rsidRPr="00CC2FAB" w:rsidRDefault="00CC2FAB" w:rsidP="00EB7C33">
            <w:pPr>
              <w:rPr>
                <w:rFonts w:ascii="Humnst777 Lt BT" w:hAnsi="Humnst777 Lt BT"/>
              </w:rPr>
            </w:pPr>
            <w:r w:rsidRPr="00CC2FAB">
              <w:rPr>
                <w:rFonts w:ascii="Humnst777 Lt BT" w:hAnsi="Humnst777 Lt BT"/>
              </w:rPr>
              <w:t>Special Regulations</w:t>
            </w:r>
          </w:p>
        </w:tc>
        <w:tc>
          <w:tcPr>
            <w:tcW w:w="6437" w:type="dxa"/>
          </w:tcPr>
          <w:p w:rsidR="00CC2FAB" w:rsidRPr="00CC2FAB" w:rsidRDefault="00CC2FAB" w:rsidP="00EB7C33">
            <w:pPr>
              <w:rPr>
                <w:rFonts w:ascii="Humnst777 Lt BT" w:hAnsi="Humnst777 Lt BT"/>
              </w:rPr>
            </w:pPr>
            <w:r w:rsidRPr="00CC2FAB">
              <w:rPr>
                <w:rFonts w:ascii="Humnst777 Lt BT" w:hAnsi="Humnst777 Lt BT"/>
              </w:rPr>
              <w:t>This denotes a regulation that is approved to extend or vary the University regulations for a programme or group of programmes.</w:t>
            </w:r>
          </w:p>
          <w:p w:rsidR="00CC2FAB" w:rsidRPr="00CC2FAB" w:rsidRDefault="00CC2FAB" w:rsidP="00EB7C33">
            <w:pPr>
              <w:rPr>
                <w:rFonts w:ascii="Humnst777 Lt BT" w:hAnsi="Humnst777 Lt BT"/>
              </w:rPr>
            </w:pPr>
          </w:p>
        </w:tc>
      </w:tr>
      <w:tr w:rsidR="00CC2FAB" w:rsidRPr="00CC2FAB" w:rsidTr="00EB7C33">
        <w:tc>
          <w:tcPr>
            <w:tcW w:w="2120" w:type="dxa"/>
          </w:tcPr>
          <w:p w:rsidR="00CC2FAB" w:rsidRPr="00CC2FAB" w:rsidRDefault="00CC2FAB" w:rsidP="00EB7C33">
            <w:pPr>
              <w:rPr>
                <w:rFonts w:ascii="Humnst777 Lt BT" w:hAnsi="Humnst777 Lt BT"/>
              </w:rPr>
            </w:pPr>
            <w:r w:rsidRPr="00CC2FAB">
              <w:rPr>
                <w:rFonts w:ascii="Humnst777 Lt BT" w:hAnsi="Humnst777 Lt BT"/>
              </w:rPr>
              <w:t>Scheme</w:t>
            </w:r>
          </w:p>
        </w:tc>
        <w:tc>
          <w:tcPr>
            <w:tcW w:w="6437" w:type="dxa"/>
          </w:tcPr>
          <w:p w:rsidR="001C1F24" w:rsidRDefault="00CC2FAB" w:rsidP="001C1F24">
            <w:pPr>
              <w:rPr>
                <w:rFonts w:ascii="Humnst777 Lt BT" w:hAnsi="Humnst777 Lt BT"/>
              </w:rPr>
            </w:pPr>
            <w:r w:rsidRPr="00CC2FAB">
              <w:rPr>
                <w:rFonts w:ascii="Humnst777 Lt BT" w:hAnsi="Humnst777 Lt BT"/>
              </w:rPr>
              <w:t xml:space="preserve">A Scheme is the set of rules particular to a given set of </w:t>
            </w:r>
            <w:r w:rsidR="001C1F24" w:rsidRPr="001C1F24">
              <w:rPr>
                <w:rFonts w:ascii="Humnst777 Lt BT" w:hAnsi="Humnst777 Lt BT"/>
              </w:rPr>
              <w:t xml:space="preserve">A Scheme is an arrangement to manage programmes with a particular philosophy and academic structure. All Schemes fall within the regulatory requirements of the </w:t>
            </w:r>
            <w:r w:rsidR="001C1F24" w:rsidRPr="001C1F24">
              <w:rPr>
                <w:rFonts w:ascii="Humnst777 Lt BT" w:hAnsi="Humnst777 Lt BT"/>
                <w:i/>
              </w:rPr>
              <w:t>Regulation and Credit Framework for the Conferment of Awards</w:t>
            </w:r>
            <w:r w:rsidR="001C1F24" w:rsidRPr="001C1F24">
              <w:rPr>
                <w:rFonts w:ascii="Humnst777 Lt BT" w:hAnsi="Humnst777 Lt BT"/>
              </w:rPr>
              <w:t xml:space="preserve">. The Academic Board, acting on the recommendation of the appropriate committee, has the authority to establish a Scheme. </w:t>
            </w:r>
          </w:p>
          <w:p w:rsidR="001C1F24" w:rsidRPr="001C1F24" w:rsidRDefault="001C1F24" w:rsidP="001C1F24">
            <w:pPr>
              <w:rPr>
                <w:rFonts w:ascii="Humnst777 Lt BT" w:hAnsi="Humnst777 Lt BT"/>
              </w:rPr>
            </w:pPr>
          </w:p>
          <w:p w:rsidR="001C1F24" w:rsidRPr="00CC2FAB" w:rsidRDefault="001C1F24" w:rsidP="001C1F24">
            <w:pPr>
              <w:rPr>
                <w:rFonts w:ascii="Humnst777 Lt BT" w:hAnsi="Humnst777 Lt BT"/>
              </w:rPr>
            </w:pPr>
            <w:r w:rsidRPr="001C1F24">
              <w:rPr>
                <w:rFonts w:ascii="Humnst777 Lt BT" w:hAnsi="Humnst777 Lt BT"/>
              </w:rPr>
              <w:t>Protocols refers to a procedure relating to the management and operation of a Scheme, have no regulatory force.  A scheme Protocol cannot over-ride a regulation.</w:t>
            </w:r>
          </w:p>
        </w:tc>
      </w:tr>
      <w:tr w:rsidR="00CC2FAB" w:rsidRPr="00CC2FAB" w:rsidTr="00EB7C33">
        <w:tc>
          <w:tcPr>
            <w:tcW w:w="2120" w:type="dxa"/>
          </w:tcPr>
          <w:p w:rsidR="00CC2FAB" w:rsidRPr="00CC2FAB" w:rsidRDefault="00CC2FAB" w:rsidP="00EB7C33">
            <w:pPr>
              <w:rPr>
                <w:rFonts w:ascii="Humnst777 Lt BT" w:hAnsi="Humnst777 Lt BT"/>
              </w:rPr>
            </w:pPr>
            <w:r w:rsidRPr="00CC2FAB">
              <w:rPr>
                <w:rFonts w:ascii="Humnst777 Lt BT" w:hAnsi="Humnst777 Lt BT"/>
              </w:rPr>
              <w:t>Short Course</w:t>
            </w:r>
          </w:p>
        </w:tc>
        <w:tc>
          <w:tcPr>
            <w:tcW w:w="6437" w:type="dxa"/>
          </w:tcPr>
          <w:p w:rsidR="00CC2FAB" w:rsidRPr="00CC2FAB" w:rsidRDefault="00CC2FAB" w:rsidP="00EB7C33">
            <w:pPr>
              <w:rPr>
                <w:rFonts w:ascii="Humnst777 Lt BT" w:hAnsi="Humnst777 Lt BT"/>
              </w:rPr>
            </w:pPr>
            <w:r w:rsidRPr="00CC2FAB">
              <w:rPr>
                <w:rFonts w:ascii="Humnst777 Lt BT" w:hAnsi="Humnst777 Lt BT"/>
              </w:rPr>
              <w:t>A short course is a course of study of no greater than 400 hours learning time, usually but not always credited, and which normally leads to a University Certificate.</w:t>
            </w:r>
          </w:p>
        </w:tc>
      </w:tr>
      <w:tr w:rsidR="00CC2FAB" w:rsidRPr="00CC2FAB" w:rsidTr="00EB7C33">
        <w:tc>
          <w:tcPr>
            <w:tcW w:w="2120" w:type="dxa"/>
          </w:tcPr>
          <w:p w:rsidR="00CC2FAB" w:rsidRPr="00CC2FAB" w:rsidRDefault="00CC2FAB" w:rsidP="00EB7C33">
            <w:pPr>
              <w:rPr>
                <w:rFonts w:ascii="Humnst777 Lt BT" w:hAnsi="Humnst777 Lt BT"/>
              </w:rPr>
            </w:pPr>
            <w:r w:rsidRPr="00CC2FAB">
              <w:rPr>
                <w:rFonts w:ascii="Humnst777 Lt BT" w:hAnsi="Humnst777 Lt BT"/>
              </w:rPr>
              <w:t>Stage</w:t>
            </w:r>
          </w:p>
        </w:tc>
        <w:tc>
          <w:tcPr>
            <w:tcW w:w="6437" w:type="dxa"/>
            <w:vAlign w:val="center"/>
          </w:tcPr>
          <w:p w:rsidR="00CC2FAB" w:rsidRPr="00CC2FAB" w:rsidRDefault="00CC2FAB" w:rsidP="00EB7C33">
            <w:pPr>
              <w:rPr>
                <w:rFonts w:ascii="Humnst777 Lt BT" w:hAnsi="Humnst777 Lt BT" w:cs="Tahoma"/>
              </w:rPr>
            </w:pPr>
            <w:r w:rsidRPr="00CC2FAB">
              <w:rPr>
                <w:rFonts w:ascii="Humnst777 Lt BT" w:hAnsi="Humnst777 Lt BT" w:cs="Tahoma"/>
              </w:rPr>
              <w:t>The differentiation of achievement within a level.</w:t>
            </w:r>
            <w:r w:rsidRPr="00CC2FAB">
              <w:rPr>
                <w:rFonts w:ascii="Humnst777 Lt BT" w:hAnsi="Humnst777 Lt BT"/>
              </w:rPr>
              <w:t xml:space="preserve">  A stage of a programme is something that should normally be completed before a student can undertake the next stage.  A stage will often be completed in an academic year.  However, the term “stage” is more appropriate than “year”, as many programmes are validated as mode-free and part-time students may take more than a year to complete a 120-credit stage.</w:t>
            </w:r>
          </w:p>
        </w:tc>
      </w:tr>
      <w:tr w:rsidR="00CC2FAB" w:rsidRPr="00CC2FAB" w:rsidTr="00EB7C33">
        <w:tc>
          <w:tcPr>
            <w:tcW w:w="2120" w:type="dxa"/>
          </w:tcPr>
          <w:p w:rsidR="00CC2FAB" w:rsidRPr="00CC2FAB" w:rsidRDefault="00CC2FAB" w:rsidP="00EB7C33">
            <w:pPr>
              <w:rPr>
                <w:rFonts w:ascii="Humnst777 Lt BT" w:hAnsi="Humnst777 Lt BT"/>
              </w:rPr>
            </w:pPr>
            <w:r w:rsidRPr="00CC2FAB">
              <w:rPr>
                <w:rFonts w:ascii="Humnst777 Lt BT" w:hAnsi="Humnst777 Lt BT"/>
              </w:rPr>
              <w:t>Suite</w:t>
            </w:r>
          </w:p>
        </w:tc>
        <w:tc>
          <w:tcPr>
            <w:tcW w:w="6437" w:type="dxa"/>
            <w:vAlign w:val="center"/>
          </w:tcPr>
          <w:p w:rsidR="00CC2FAB" w:rsidRPr="00CC2FAB" w:rsidRDefault="00CC2FAB" w:rsidP="00EB7C33">
            <w:pPr>
              <w:rPr>
                <w:rFonts w:ascii="Humnst777 Lt BT" w:hAnsi="Humnst777 Lt BT" w:cs="Tahoma"/>
              </w:rPr>
            </w:pPr>
            <w:r w:rsidRPr="00CC2FAB">
              <w:rPr>
                <w:rFonts w:ascii="Humnst777 Lt BT" w:hAnsi="Humnst777 Lt BT"/>
              </w:rPr>
              <w:t>The term used for a cluster of programmes within a scheme, which have core modules in common.</w:t>
            </w:r>
          </w:p>
        </w:tc>
      </w:tr>
      <w:tr w:rsidR="00CC2FAB" w:rsidRPr="00CC2FAB" w:rsidTr="00EB7C33">
        <w:tc>
          <w:tcPr>
            <w:tcW w:w="2120" w:type="dxa"/>
          </w:tcPr>
          <w:p w:rsidR="00CC2FAB" w:rsidRPr="00CC2FAB" w:rsidRDefault="00CC2FAB" w:rsidP="00EB7C33">
            <w:pPr>
              <w:rPr>
                <w:rFonts w:ascii="Humnst777 Lt BT" w:hAnsi="Humnst777 Lt BT"/>
              </w:rPr>
            </w:pPr>
            <w:r w:rsidRPr="00CC2FAB">
              <w:rPr>
                <w:rFonts w:ascii="Humnst777 Lt BT" w:hAnsi="Humnst777 Lt BT"/>
              </w:rPr>
              <w:t>Subject benchmarks</w:t>
            </w:r>
          </w:p>
        </w:tc>
        <w:tc>
          <w:tcPr>
            <w:tcW w:w="6437" w:type="dxa"/>
          </w:tcPr>
          <w:p w:rsidR="00CC2FAB" w:rsidRPr="00CC2FAB" w:rsidRDefault="00CC2FAB" w:rsidP="00EB7C33">
            <w:pPr>
              <w:rPr>
                <w:rFonts w:ascii="Humnst777 Lt BT" w:hAnsi="Humnst777 Lt BT"/>
              </w:rPr>
            </w:pPr>
            <w:r w:rsidRPr="00CC2FAB">
              <w:rPr>
                <w:rFonts w:ascii="Humnst777 Lt BT" w:hAnsi="Humnst777 Lt BT"/>
              </w:rPr>
              <w:t>'Subject benchmarks provide a means for the academic community to describe the nature and characteristics of programmes in a specific subject.  They also represent general expectations about the standards for the award of qualifications at a given level and articulate the attributes and capabilities that those possessing such qualifications should be able to demonstrate.' (The Quality Assurance Agency for Higher Education).</w:t>
            </w:r>
          </w:p>
          <w:p w:rsidR="00CC2FAB" w:rsidRPr="00CC2FAB" w:rsidRDefault="00CC2FAB" w:rsidP="00EB7C33">
            <w:pPr>
              <w:rPr>
                <w:rFonts w:ascii="Humnst777 Lt BT" w:hAnsi="Humnst777 Lt BT"/>
              </w:rPr>
            </w:pPr>
            <w:r w:rsidRPr="00CC2FAB">
              <w:rPr>
                <w:rFonts w:ascii="Humnst777 Lt BT" w:hAnsi="Humnst777 Lt BT"/>
              </w:rPr>
              <w:lastRenderedPageBreak/>
              <w:t>Subject benchmark statements now exist for undergraduate and foundation degrees. Where they exist, subject benchmarks should be consulted in the designing of programmes and, where appropriate, reflected in the aims and intended learning outcomes for those programmes.  Unquestioning adherence, however, is not required.  Programme designers are encouraged to use them selectively - to adopt those which apply to the design of their particular</w:t>
            </w:r>
            <w:r w:rsidRPr="00CC2FAB">
              <w:rPr>
                <w:rFonts w:ascii="Humnst777 Lt BT" w:hAnsi="Humnst777 Lt BT"/>
                <w:b/>
                <w:i/>
              </w:rPr>
              <w:t xml:space="preserve"> </w:t>
            </w:r>
            <w:r w:rsidRPr="00CC2FAB">
              <w:rPr>
                <w:rFonts w:ascii="Humnst777 Lt BT" w:hAnsi="Humnst777 Lt BT"/>
              </w:rPr>
              <w:t>programme and where necessary to give reasons why others are not applicable or relevant.  It is important that programme documentation is clear and explicit about how the relevant benchmark statements have been used.</w:t>
            </w:r>
          </w:p>
        </w:tc>
      </w:tr>
      <w:tr w:rsidR="00CC2FAB" w:rsidRPr="00CC2FAB" w:rsidTr="00EB7C33">
        <w:tc>
          <w:tcPr>
            <w:tcW w:w="2120" w:type="dxa"/>
          </w:tcPr>
          <w:p w:rsidR="00CC2FAB" w:rsidRPr="00CC2FAB" w:rsidRDefault="00CC2FAB" w:rsidP="00EB7C33">
            <w:pPr>
              <w:rPr>
                <w:rFonts w:ascii="Humnst777 Lt BT" w:hAnsi="Humnst777 Lt BT"/>
                <w:i/>
              </w:rPr>
            </w:pPr>
            <w:r w:rsidRPr="00CC2FAB">
              <w:rPr>
                <w:rFonts w:ascii="Humnst777 Lt BT" w:hAnsi="Humnst777 Lt BT"/>
                <w:i/>
              </w:rPr>
              <w:lastRenderedPageBreak/>
              <w:t>UK Quality Code for Higher Education</w:t>
            </w:r>
          </w:p>
        </w:tc>
        <w:tc>
          <w:tcPr>
            <w:tcW w:w="6437" w:type="dxa"/>
          </w:tcPr>
          <w:p w:rsidR="001C1F24" w:rsidRDefault="001C1F24" w:rsidP="001C1F24">
            <w:pPr>
              <w:rPr>
                <w:rFonts w:ascii="Humnst777 Lt BT" w:hAnsi="Humnst777 Lt BT" w:cs="StoneSans"/>
              </w:rPr>
            </w:pPr>
            <w:r w:rsidRPr="001C1F24">
              <w:rPr>
                <w:rFonts w:ascii="Humnst777 Lt BT" w:hAnsi="Humnst777 Lt BT" w:cs="StoneSans"/>
              </w:rPr>
              <w:t xml:space="preserve">The </w:t>
            </w:r>
            <w:r w:rsidRPr="001C1F24">
              <w:rPr>
                <w:rFonts w:ascii="Humnst777 Lt BT" w:hAnsi="Humnst777 Lt BT"/>
                <w:i/>
              </w:rPr>
              <w:t>UK Quality Code for Higher Education</w:t>
            </w:r>
            <w:r w:rsidRPr="001C1F24" w:rsidDel="00BF4854">
              <w:rPr>
                <w:rFonts w:ascii="Humnst777 Lt BT" w:hAnsi="Humnst777 Lt BT" w:cs="StoneSans"/>
              </w:rPr>
              <w:t xml:space="preserve"> </w:t>
            </w:r>
            <w:r w:rsidRPr="001C1F24">
              <w:rPr>
                <w:rFonts w:ascii="Humnst777 Lt BT" w:hAnsi="Humnst777 Lt BT" w:cs="StoneSans"/>
              </w:rPr>
              <w:t xml:space="preserve">sets out the formal expectations that all UK higher education providers reviewed by QAA [The Quality Assurance Agency] are required to meet. It is the nationally agreed, definitive point of reference for all those involved in delivering higher education programmes that lead to an award from, or are validated by, a UK higher education awarding body (a provider entitled to award degrees). All higher education providers reviewed by QAA must commit to meeting the expectations that it sets out. </w:t>
            </w:r>
          </w:p>
          <w:p w:rsidR="001C1F24" w:rsidRPr="001C1F24" w:rsidRDefault="001C1F24" w:rsidP="001C1F24">
            <w:pPr>
              <w:rPr>
                <w:rFonts w:ascii="Humnst777 Lt BT" w:hAnsi="Humnst777 Lt BT" w:cs="StoneSans"/>
              </w:rPr>
            </w:pPr>
          </w:p>
          <w:p w:rsidR="001C1F24" w:rsidRPr="001C1F24" w:rsidRDefault="001C1F24" w:rsidP="001C1F24">
            <w:pPr>
              <w:rPr>
                <w:rStyle w:val="Hyperlink"/>
                <w:rFonts w:ascii="Humnst777 Lt BT" w:hAnsi="Humnst777 Lt BT" w:cs="StoneSans"/>
                <w:b/>
              </w:rPr>
            </w:pPr>
            <w:r w:rsidRPr="001C1F24">
              <w:rPr>
                <w:rFonts w:ascii="Humnst777 Lt BT" w:hAnsi="Humnst777 Lt BT" w:cs="StoneSans"/>
                <w:b/>
              </w:rPr>
              <w:fldChar w:fldCharType="begin"/>
            </w:r>
            <w:r w:rsidRPr="001C1F24">
              <w:rPr>
                <w:rFonts w:ascii="Humnst777 Lt BT" w:hAnsi="Humnst777 Lt BT" w:cs="StoneSans"/>
                <w:b/>
              </w:rPr>
              <w:instrText xml:space="preserve"> HYPERLINK "http://www.qaa.ac.uk/assuring-standards-and-quality/the-quality-code/quality-code-part-a" </w:instrText>
            </w:r>
            <w:r w:rsidRPr="001C1F24">
              <w:rPr>
                <w:rFonts w:ascii="Humnst777 Lt BT" w:hAnsi="Humnst777 Lt BT" w:cs="StoneSans"/>
                <w:b/>
              </w:rPr>
              <w:fldChar w:fldCharType="separate"/>
            </w:r>
            <w:r w:rsidRPr="001C1F24">
              <w:rPr>
                <w:rStyle w:val="Hyperlink"/>
                <w:rFonts w:ascii="Humnst777 Lt BT" w:hAnsi="Humnst777 Lt BT" w:cs="StoneSans"/>
                <w:b/>
              </w:rPr>
              <w:t>Part A: Setting and maintaining threshold academic standards</w:t>
            </w:r>
          </w:p>
          <w:p w:rsidR="001C1F24" w:rsidRPr="001C1F24" w:rsidRDefault="001C1F24" w:rsidP="001C1F24">
            <w:pPr>
              <w:rPr>
                <w:rFonts w:ascii="Humnst777 Lt BT" w:hAnsi="Humnst777 Lt BT" w:cs="StoneSans"/>
              </w:rPr>
            </w:pPr>
            <w:r w:rsidRPr="001C1F24">
              <w:rPr>
                <w:rFonts w:ascii="Humnst777 Lt BT" w:hAnsi="Humnst777 Lt BT" w:cs="StoneSans"/>
                <w:b/>
              </w:rPr>
              <w:fldChar w:fldCharType="end"/>
            </w:r>
            <w:r w:rsidRPr="001C1F24">
              <w:rPr>
                <w:rFonts w:ascii="Humnst777 Lt BT" w:hAnsi="Humnst777 Lt BT" w:cs="StoneSans"/>
              </w:rPr>
              <w:t>Qualifications Frameworks</w:t>
            </w:r>
          </w:p>
          <w:p w:rsidR="001C1F24" w:rsidRPr="001C1F24" w:rsidRDefault="001C1F24" w:rsidP="001C1F24">
            <w:pPr>
              <w:rPr>
                <w:rFonts w:ascii="Humnst777 Lt BT" w:hAnsi="Humnst777 Lt BT" w:cs="StoneSans"/>
              </w:rPr>
            </w:pPr>
            <w:r w:rsidRPr="001C1F24">
              <w:rPr>
                <w:rFonts w:ascii="Humnst777 Lt BT" w:hAnsi="Humnst777 Lt BT" w:cs="StoneSans"/>
              </w:rPr>
              <w:t>Characteristics Statements</w:t>
            </w:r>
          </w:p>
          <w:p w:rsidR="001C1F24" w:rsidRPr="001C1F24" w:rsidRDefault="001C1F24" w:rsidP="001C1F24">
            <w:pPr>
              <w:rPr>
                <w:rFonts w:ascii="Humnst777 Lt BT" w:hAnsi="Humnst777 Lt BT" w:cs="StoneSans"/>
              </w:rPr>
            </w:pPr>
            <w:r w:rsidRPr="001C1F24">
              <w:rPr>
                <w:rFonts w:ascii="Humnst777 Lt BT" w:hAnsi="Humnst777 Lt BT" w:cs="StoneSans"/>
              </w:rPr>
              <w:t>Credit Frameworks</w:t>
            </w:r>
          </w:p>
          <w:p w:rsidR="001C1F24" w:rsidRDefault="001C1F24" w:rsidP="001C1F24">
            <w:pPr>
              <w:rPr>
                <w:rFonts w:ascii="Humnst777 Lt BT" w:hAnsi="Humnst777 Lt BT" w:cs="StoneSans"/>
              </w:rPr>
            </w:pPr>
            <w:r w:rsidRPr="001C1F24">
              <w:rPr>
                <w:rFonts w:ascii="Humnst777 Lt BT" w:hAnsi="Humnst777 Lt BT" w:cs="StoneSans"/>
              </w:rPr>
              <w:t>Subject Benchmark Statements</w:t>
            </w:r>
          </w:p>
          <w:p w:rsidR="001C1F24" w:rsidRPr="001C1F24" w:rsidRDefault="001C1F24" w:rsidP="001C1F24">
            <w:pPr>
              <w:rPr>
                <w:rFonts w:ascii="Humnst777 Lt BT" w:hAnsi="Humnst777 Lt BT" w:cs="StoneSans"/>
              </w:rPr>
            </w:pPr>
          </w:p>
          <w:p w:rsidR="001C1F24" w:rsidRPr="001C1F24" w:rsidRDefault="001C1F24" w:rsidP="001C1F24">
            <w:pPr>
              <w:rPr>
                <w:rFonts w:ascii="Humnst777 Lt BT" w:hAnsi="Humnst777 Lt BT" w:cs="StoneSans"/>
                <w:b/>
              </w:rPr>
            </w:pPr>
            <w:hyperlink r:id="rId11" w:history="1">
              <w:r w:rsidRPr="001C1F24">
                <w:rPr>
                  <w:rStyle w:val="Hyperlink"/>
                  <w:rFonts w:ascii="Humnst777 Lt BT" w:hAnsi="Humnst777 Lt BT" w:cs="StoneSans"/>
                  <w:b/>
                </w:rPr>
                <w:t>Part B: Assuring and enhancing academic quality</w:t>
              </w:r>
            </w:hyperlink>
          </w:p>
          <w:p w:rsidR="001C1F24" w:rsidRPr="001C1F24" w:rsidRDefault="001C1F24" w:rsidP="001C1F24">
            <w:pPr>
              <w:rPr>
                <w:rFonts w:ascii="Humnst777 Lt BT" w:hAnsi="Humnst777 Lt BT" w:cs="StoneSans"/>
              </w:rPr>
            </w:pPr>
            <w:hyperlink r:id="rId12" w:history="1">
              <w:r w:rsidRPr="001C1F24">
                <w:rPr>
                  <w:rFonts w:ascii="Humnst777 Lt BT" w:hAnsi="Humnst777 Lt BT" w:cs="StoneSans"/>
                </w:rPr>
                <w:t>B1: Programme design and approval</w:t>
              </w:r>
            </w:hyperlink>
          </w:p>
          <w:p w:rsidR="001C1F24" w:rsidRPr="001C1F24" w:rsidRDefault="001C1F24" w:rsidP="001C1F24">
            <w:pPr>
              <w:rPr>
                <w:rFonts w:ascii="Humnst777 Lt BT" w:hAnsi="Humnst777 Lt BT" w:cs="StoneSans"/>
              </w:rPr>
            </w:pPr>
            <w:hyperlink r:id="rId13" w:history="1">
              <w:r w:rsidRPr="001C1F24">
                <w:rPr>
                  <w:rFonts w:ascii="Humnst777 Lt BT" w:hAnsi="Humnst777 Lt BT" w:cs="StoneSans"/>
                </w:rPr>
                <w:t>B2: Recruitment,</w:t>
              </w:r>
            </w:hyperlink>
            <w:r w:rsidRPr="001C1F24">
              <w:rPr>
                <w:rFonts w:ascii="Humnst777 Lt BT" w:hAnsi="Humnst777 Lt BT" w:cs="StoneSans"/>
              </w:rPr>
              <w:t xml:space="preserve"> Selection and Admission to Higher Education</w:t>
            </w:r>
          </w:p>
          <w:p w:rsidR="001C1F24" w:rsidRPr="001C1F24" w:rsidRDefault="001C1F24" w:rsidP="001C1F24">
            <w:pPr>
              <w:rPr>
                <w:rFonts w:ascii="Humnst777 Lt BT" w:hAnsi="Humnst777 Lt BT" w:cs="StoneSans"/>
              </w:rPr>
            </w:pPr>
            <w:hyperlink r:id="rId14" w:history="1">
              <w:r w:rsidRPr="001C1F24">
                <w:rPr>
                  <w:rFonts w:ascii="Humnst777 Lt BT" w:hAnsi="Humnst777 Lt BT" w:cs="StoneSans"/>
                </w:rPr>
                <w:t>B3: Learning and teaching</w:t>
              </w:r>
            </w:hyperlink>
          </w:p>
          <w:p w:rsidR="001C1F24" w:rsidRPr="001C1F24" w:rsidRDefault="001C1F24" w:rsidP="001C1F24">
            <w:pPr>
              <w:rPr>
                <w:rFonts w:ascii="Humnst777 Lt BT" w:hAnsi="Humnst777 Lt BT" w:cs="StoneSans"/>
              </w:rPr>
            </w:pPr>
            <w:hyperlink r:id="rId15" w:history="1">
              <w:r w:rsidRPr="001C1F24">
                <w:rPr>
                  <w:rFonts w:ascii="Humnst777 Lt BT" w:hAnsi="Humnst777 Lt BT" w:cs="StoneSans"/>
                </w:rPr>
                <w:t xml:space="preserve">B4: </w:t>
              </w:r>
            </w:hyperlink>
            <w:r w:rsidRPr="001C1F24">
              <w:rPr>
                <w:rFonts w:ascii="Humnst777 Lt BT" w:hAnsi="Humnst777 Lt BT" w:cs="StoneSans"/>
              </w:rPr>
              <w:t>Enabling Student Development and Achievement</w:t>
            </w:r>
          </w:p>
          <w:p w:rsidR="001C1F24" w:rsidRPr="001C1F24" w:rsidRDefault="001C1F24" w:rsidP="001C1F24">
            <w:pPr>
              <w:rPr>
                <w:rFonts w:ascii="Humnst777 Lt BT" w:hAnsi="Humnst777 Lt BT" w:cs="StoneSans"/>
              </w:rPr>
            </w:pPr>
            <w:hyperlink r:id="rId16" w:history="1">
              <w:r w:rsidRPr="001C1F24">
                <w:rPr>
                  <w:rFonts w:ascii="Humnst777 Lt BT" w:hAnsi="Humnst777 Lt BT" w:cs="StoneSans"/>
                </w:rPr>
                <w:t>B5: Student engagement</w:t>
              </w:r>
            </w:hyperlink>
            <w:r w:rsidRPr="001C1F24">
              <w:rPr>
                <w:rFonts w:ascii="Humnst777 Lt BT" w:hAnsi="Humnst777 Lt BT" w:cs="StoneSans"/>
              </w:rPr>
              <w:t xml:space="preserve"> </w:t>
            </w:r>
          </w:p>
          <w:p w:rsidR="001C1F24" w:rsidRPr="001C1F24" w:rsidRDefault="001C1F24" w:rsidP="001C1F24">
            <w:pPr>
              <w:rPr>
                <w:rFonts w:ascii="Humnst777 Lt BT" w:hAnsi="Humnst777 Lt BT" w:cs="StoneSans"/>
              </w:rPr>
            </w:pPr>
            <w:hyperlink r:id="rId17" w:history="1">
              <w:r w:rsidRPr="001C1F24">
                <w:rPr>
                  <w:rFonts w:ascii="Humnst777 Lt BT" w:hAnsi="Humnst777 Lt BT" w:cs="StoneSans"/>
                </w:rPr>
                <w:t>B6: Assessment of students and the</w:t>
              </w:r>
            </w:hyperlink>
            <w:r w:rsidRPr="001C1F24">
              <w:rPr>
                <w:rFonts w:ascii="Humnst777 Lt BT" w:hAnsi="Humnst777 Lt BT" w:cs="StoneSans"/>
              </w:rPr>
              <w:t xml:space="preserve"> recognition of prior learning</w:t>
            </w:r>
          </w:p>
          <w:p w:rsidR="001C1F24" w:rsidRPr="001C1F24" w:rsidRDefault="001C1F24" w:rsidP="001C1F24">
            <w:pPr>
              <w:rPr>
                <w:rFonts w:ascii="Humnst777 Lt BT" w:hAnsi="Humnst777 Lt BT" w:cs="StoneSans"/>
              </w:rPr>
            </w:pPr>
            <w:hyperlink r:id="rId18" w:history="1">
              <w:r w:rsidRPr="001C1F24">
                <w:rPr>
                  <w:rFonts w:ascii="Humnst777 Lt BT" w:hAnsi="Humnst777 Lt BT" w:cs="StoneSans"/>
                </w:rPr>
                <w:t xml:space="preserve">B7: External examining </w:t>
              </w:r>
            </w:hyperlink>
          </w:p>
          <w:p w:rsidR="001C1F24" w:rsidRPr="001C1F24" w:rsidRDefault="001C1F24" w:rsidP="001C1F24">
            <w:pPr>
              <w:rPr>
                <w:rFonts w:ascii="Humnst777 Lt BT" w:hAnsi="Humnst777 Lt BT" w:cs="StoneSans"/>
              </w:rPr>
            </w:pPr>
            <w:hyperlink r:id="rId19" w:history="1">
              <w:r w:rsidRPr="001C1F24">
                <w:rPr>
                  <w:rFonts w:ascii="Humnst777 Lt BT" w:hAnsi="Humnst777 Lt BT" w:cs="StoneSans"/>
                </w:rPr>
                <w:t>B8: Programme monitoring and review</w:t>
              </w:r>
            </w:hyperlink>
          </w:p>
          <w:p w:rsidR="001C1F24" w:rsidRPr="001C1F24" w:rsidRDefault="001C1F24" w:rsidP="001C1F24">
            <w:pPr>
              <w:rPr>
                <w:rFonts w:ascii="Humnst777 Lt BT" w:hAnsi="Humnst777 Lt BT" w:cs="StoneSans"/>
              </w:rPr>
            </w:pPr>
            <w:hyperlink r:id="rId20" w:history="1">
              <w:r w:rsidRPr="001C1F24">
                <w:rPr>
                  <w:rFonts w:ascii="Humnst777 Lt BT" w:hAnsi="Humnst777 Lt BT" w:cs="StoneSans"/>
                </w:rPr>
                <w:t>B9: Academic appeals and student complaints</w:t>
              </w:r>
            </w:hyperlink>
          </w:p>
          <w:p w:rsidR="001C1F24" w:rsidRPr="001C1F24" w:rsidRDefault="001C1F24" w:rsidP="001C1F24">
            <w:pPr>
              <w:rPr>
                <w:rFonts w:ascii="Humnst777 Lt BT" w:hAnsi="Humnst777 Lt BT" w:cs="StoneSans"/>
              </w:rPr>
            </w:pPr>
            <w:hyperlink r:id="rId21" w:history="1">
              <w:r w:rsidRPr="001C1F24">
                <w:rPr>
                  <w:rFonts w:ascii="Humnst777 Lt BT" w:hAnsi="Humnst777 Lt BT" w:cs="StoneSans"/>
                </w:rPr>
                <w:t>B10: Managing Higher Education Provision with others</w:t>
              </w:r>
            </w:hyperlink>
          </w:p>
          <w:p w:rsidR="001C1F24" w:rsidRDefault="001C1F24" w:rsidP="001C1F24">
            <w:pPr>
              <w:rPr>
                <w:rFonts w:ascii="Humnst777 Lt BT" w:hAnsi="Humnst777 Lt BT" w:cs="StoneSans"/>
              </w:rPr>
            </w:pPr>
            <w:r w:rsidRPr="001C1F24">
              <w:rPr>
                <w:rFonts w:ascii="Humnst777 Lt BT" w:hAnsi="Humnst777 Lt BT"/>
              </w:rPr>
              <w:t xml:space="preserve"> </w:t>
            </w:r>
            <w:hyperlink r:id="rId22" w:history="1">
              <w:r w:rsidRPr="001C1F24">
                <w:rPr>
                  <w:rFonts w:ascii="Humnst777 Lt BT" w:hAnsi="Humnst777 Lt BT" w:cs="StoneSans"/>
                </w:rPr>
                <w:t>B11: Research degrees</w:t>
              </w:r>
            </w:hyperlink>
          </w:p>
          <w:p w:rsidR="001C1F24" w:rsidRPr="001C1F24" w:rsidRDefault="001C1F24" w:rsidP="001C1F24">
            <w:pPr>
              <w:rPr>
                <w:rFonts w:ascii="Humnst777 Lt BT" w:hAnsi="Humnst777 Lt BT" w:cs="StoneSans"/>
              </w:rPr>
            </w:pPr>
          </w:p>
          <w:p w:rsidR="00CC2FAB" w:rsidRDefault="001C1F24" w:rsidP="001C1F24">
            <w:pPr>
              <w:rPr>
                <w:rStyle w:val="Hyperlink"/>
                <w:rFonts w:ascii="Humnst777 Lt BT" w:hAnsi="Humnst777 Lt BT" w:cs="StoneSans"/>
                <w:b/>
              </w:rPr>
            </w:pPr>
            <w:hyperlink r:id="rId23" w:history="1">
              <w:r w:rsidRPr="001C1F24">
                <w:rPr>
                  <w:rStyle w:val="Hyperlink"/>
                  <w:rFonts w:ascii="Humnst777 Lt BT" w:hAnsi="Humnst777 Lt BT" w:cs="StoneSans"/>
                  <w:b/>
                </w:rPr>
                <w:t>Part C: Information about higher education provision</w:t>
              </w:r>
            </w:hyperlink>
          </w:p>
          <w:p w:rsidR="001C1F24" w:rsidRPr="00CC2FAB" w:rsidRDefault="001C1F24" w:rsidP="001C1F24">
            <w:pPr>
              <w:rPr>
                <w:rFonts w:ascii="Humnst777 Lt BT" w:hAnsi="Humnst777 Lt BT" w:cs="StoneSans"/>
                <w:b/>
                <w:color w:val="4D4D4D"/>
              </w:rPr>
            </w:pPr>
          </w:p>
        </w:tc>
      </w:tr>
      <w:tr w:rsidR="00CC2FAB" w:rsidRPr="00CC2FAB" w:rsidTr="00EB7C33">
        <w:tc>
          <w:tcPr>
            <w:tcW w:w="2120" w:type="dxa"/>
          </w:tcPr>
          <w:p w:rsidR="00CC2FAB" w:rsidRPr="00CC2FAB" w:rsidRDefault="00CC2FAB" w:rsidP="00EB7C33">
            <w:pPr>
              <w:rPr>
                <w:rFonts w:ascii="Humnst777 Lt BT" w:hAnsi="Humnst777 Lt BT"/>
              </w:rPr>
            </w:pPr>
            <w:r w:rsidRPr="00CC2FAB">
              <w:rPr>
                <w:rFonts w:ascii="Humnst777 Lt BT" w:hAnsi="Humnst777 Lt BT"/>
              </w:rPr>
              <w:t>Validation</w:t>
            </w:r>
          </w:p>
        </w:tc>
        <w:tc>
          <w:tcPr>
            <w:tcW w:w="6437" w:type="dxa"/>
          </w:tcPr>
          <w:p w:rsidR="00CC2FAB" w:rsidRPr="00CC2FAB" w:rsidRDefault="00CC2FAB" w:rsidP="00EB7C33">
            <w:pPr>
              <w:rPr>
                <w:rFonts w:ascii="Humnst777 Lt BT" w:hAnsi="Humnst777 Lt BT" w:cs="StoneSans"/>
              </w:rPr>
            </w:pPr>
            <w:r w:rsidRPr="00CC2FAB">
              <w:rPr>
                <w:rFonts w:ascii="Humnst777 Lt BT" w:hAnsi="Humnst777 Lt BT"/>
              </w:rPr>
              <w:t>Mechanism for the approval of an academic programme of study.</w:t>
            </w:r>
          </w:p>
        </w:tc>
      </w:tr>
    </w:tbl>
    <w:p w:rsidR="00CC2FAB" w:rsidRDefault="00CC2FAB" w:rsidP="00CC2FAB">
      <w:pPr>
        <w:rPr>
          <w:rFonts w:ascii="Humnst777 BT" w:hAnsi="Humnst777 BT"/>
        </w:rPr>
      </w:pPr>
    </w:p>
    <w:p w:rsidR="003035CD" w:rsidRDefault="003035CD" w:rsidP="001C1F24">
      <w:pPr>
        <w:sectPr w:rsidR="003035CD" w:rsidSect="003035CD">
          <w:headerReference w:type="default" r:id="rId24"/>
          <w:footerReference w:type="default" r:id="rId25"/>
          <w:pgSz w:w="11906" w:h="16838"/>
          <w:pgMar w:top="1440" w:right="2125" w:bottom="1440" w:left="1440" w:header="706" w:footer="706" w:gutter="0"/>
          <w:pgNumType w:start="1"/>
          <w:cols w:space="708"/>
          <w:docGrid w:linePitch="360"/>
        </w:sectPr>
      </w:pPr>
      <w:r>
        <w:rPr>
          <w:rFonts w:ascii="Humnst777 BT" w:hAnsi="Humnst777 BT"/>
        </w:rPr>
        <w:t xml:space="preserve"> </w:t>
      </w:r>
    </w:p>
    <w:p w:rsidR="00934AD3" w:rsidRDefault="007273A0" w:rsidP="0011771E">
      <w:pPr>
        <w:pStyle w:val="Heading2"/>
      </w:pPr>
      <w:r>
        <w:lastRenderedPageBreak/>
        <w:t>3</w:t>
      </w:r>
      <w:r w:rsidR="00237373">
        <w:tab/>
      </w:r>
      <w:r w:rsidR="00AA7409" w:rsidRPr="0070559F">
        <w:t xml:space="preserve"> </w:t>
      </w:r>
      <w:r w:rsidR="00580D0C" w:rsidRPr="0070559F">
        <w:t>Links to University</w:t>
      </w:r>
      <w:r w:rsidR="00AA7409" w:rsidRPr="0070559F">
        <w:t xml:space="preserve"> strategies, policies and procedures</w:t>
      </w:r>
    </w:p>
    <w:p w:rsidR="007273A0" w:rsidRPr="007273A0" w:rsidRDefault="007273A0" w:rsidP="007273A0"/>
    <w:p w:rsidR="00934AD3" w:rsidRPr="00DE6D62" w:rsidRDefault="00613F74" w:rsidP="00BC3398">
      <w:pPr>
        <w:pStyle w:val="PlainText"/>
        <w:tabs>
          <w:tab w:val="left" w:pos="3510"/>
          <w:tab w:val="left" w:pos="5778"/>
        </w:tabs>
        <w:rPr>
          <w:rFonts w:ascii="Humnst777 BT" w:hAnsi="Humnst777 BT"/>
          <w:sz w:val="22"/>
          <w:szCs w:val="22"/>
        </w:rPr>
      </w:pPr>
      <w:r w:rsidRPr="00DE6D62">
        <w:rPr>
          <w:rFonts w:ascii="Humnst777 BT" w:hAnsi="Humnst777 BT"/>
          <w:sz w:val="22"/>
          <w:szCs w:val="22"/>
        </w:rPr>
        <w:t>Please note</w:t>
      </w:r>
      <w:r w:rsidR="00F80274" w:rsidRPr="00DE6D62">
        <w:rPr>
          <w:rFonts w:ascii="Humnst777 BT" w:hAnsi="Humnst777 BT"/>
          <w:sz w:val="22"/>
          <w:szCs w:val="22"/>
        </w:rPr>
        <w:t xml:space="preserve">: </w:t>
      </w:r>
      <w:r w:rsidRPr="00DE6D62">
        <w:rPr>
          <w:rFonts w:ascii="Humnst777 BT" w:hAnsi="Humnst777 BT"/>
          <w:sz w:val="22"/>
          <w:szCs w:val="22"/>
        </w:rPr>
        <w:t xml:space="preserve">documents marked with </w:t>
      </w:r>
      <w:r w:rsidR="006A65C2" w:rsidRPr="00DE6D62">
        <w:rPr>
          <w:rFonts w:ascii="Humnst777 BT" w:hAnsi="Humnst777 BT"/>
          <w:sz w:val="22"/>
          <w:szCs w:val="22"/>
        </w:rPr>
        <w:t>an asterisk (*)</w:t>
      </w:r>
      <w:r w:rsidRPr="00DE6D62">
        <w:rPr>
          <w:rFonts w:ascii="Humnst777 BT" w:hAnsi="Humnst777 BT"/>
          <w:sz w:val="22"/>
          <w:szCs w:val="22"/>
        </w:rPr>
        <w:t xml:space="preserve"> apply in full to any programme of the relevant higher education level, unless specific variations are explicitly proposed, or have been agreed, either for the individual programme, or as part of a suite </w:t>
      </w:r>
      <w:r w:rsidR="004931E4">
        <w:rPr>
          <w:rFonts w:ascii="Humnst777 BT" w:hAnsi="Humnst777 BT"/>
          <w:sz w:val="22"/>
          <w:szCs w:val="22"/>
        </w:rPr>
        <w:t xml:space="preserve">of </w:t>
      </w:r>
      <w:r w:rsidRPr="00DE6D62">
        <w:rPr>
          <w:rFonts w:ascii="Humnst777 BT" w:hAnsi="Humnst777 BT"/>
          <w:sz w:val="22"/>
          <w:szCs w:val="22"/>
        </w:rPr>
        <w:t>programmes</w:t>
      </w:r>
      <w:r w:rsidR="009E3488" w:rsidRPr="00DE6D62">
        <w:rPr>
          <w:rFonts w:ascii="Humnst777 BT" w:hAnsi="Humnst777 BT"/>
          <w:sz w:val="22"/>
          <w:szCs w:val="22"/>
        </w:rPr>
        <w:t xml:space="preserve"> or a scheme.</w:t>
      </w:r>
    </w:p>
    <w:p w:rsidR="00F80274" w:rsidRPr="00DE6D62" w:rsidRDefault="00F80274" w:rsidP="00BC3398">
      <w:pPr>
        <w:pStyle w:val="PlainText"/>
        <w:tabs>
          <w:tab w:val="left" w:pos="3510"/>
          <w:tab w:val="left" w:pos="5778"/>
        </w:tabs>
        <w:rPr>
          <w:rFonts w:ascii="Humnst777 BT" w:hAnsi="Humnst777 BT"/>
          <w:sz w:val="22"/>
          <w:szCs w:val="22"/>
        </w:rPr>
      </w:pPr>
    </w:p>
    <w:p w:rsidR="00F80274" w:rsidRPr="00DE6D62" w:rsidRDefault="00F80274" w:rsidP="00BC3398">
      <w:pPr>
        <w:pStyle w:val="PlainText"/>
        <w:tabs>
          <w:tab w:val="left" w:pos="3510"/>
          <w:tab w:val="left" w:pos="5778"/>
        </w:tabs>
        <w:rPr>
          <w:rFonts w:ascii="Humnst777 BT" w:hAnsi="Humnst777 BT"/>
          <w:sz w:val="22"/>
          <w:szCs w:val="22"/>
        </w:rPr>
      </w:pPr>
      <w:r w:rsidRPr="00DE6D62">
        <w:rPr>
          <w:rFonts w:ascii="Humnst777 BT" w:hAnsi="Humnst777 BT"/>
          <w:sz w:val="22"/>
          <w:szCs w:val="22"/>
        </w:rPr>
        <w:t xml:space="preserve">Documents marked with a </w:t>
      </w:r>
      <w:r w:rsidR="006302F6" w:rsidRPr="00DE6D62">
        <w:rPr>
          <w:rFonts w:ascii="Humnst777 BT" w:hAnsi="Humnst777 BT"/>
          <w:sz w:val="22"/>
          <w:szCs w:val="22"/>
        </w:rPr>
        <w:t>dagger (</w:t>
      </w:r>
      <w:r w:rsidR="006302F6" w:rsidRPr="00DE6D62">
        <w:rPr>
          <w:rFonts w:ascii="Humnst777 BT" w:hAnsi="Humnst777 BT" w:cs="Lucida Sans Unicode"/>
          <w:sz w:val="22"/>
          <w:szCs w:val="22"/>
        </w:rPr>
        <w:t>†)</w:t>
      </w:r>
      <w:r w:rsidR="00913424" w:rsidRPr="00DE6D62">
        <w:rPr>
          <w:rFonts w:ascii="Humnst777 BT" w:hAnsi="Humnst777 BT" w:cs="Lucida Sans Unicode"/>
          <w:sz w:val="22"/>
          <w:szCs w:val="22"/>
        </w:rPr>
        <w:t xml:space="preserve"> </w:t>
      </w:r>
      <w:r w:rsidR="006302F6" w:rsidRPr="00DE6D62">
        <w:rPr>
          <w:rFonts w:ascii="Humnst777 BT" w:hAnsi="Humnst777 BT" w:cs="Lucida Sans Unicode"/>
          <w:sz w:val="22"/>
          <w:szCs w:val="22"/>
        </w:rPr>
        <w:t>apply to specific programmes</w:t>
      </w:r>
      <w:r w:rsidR="00133064" w:rsidRPr="00DE6D62">
        <w:rPr>
          <w:rFonts w:ascii="Humnst777 BT" w:hAnsi="Humnst777 BT" w:cs="Lucida Sans Unicode"/>
          <w:sz w:val="22"/>
          <w:szCs w:val="22"/>
        </w:rPr>
        <w:t xml:space="preserve"> or g</w:t>
      </w:r>
      <w:r w:rsidR="003035CD">
        <w:rPr>
          <w:rFonts w:ascii="Humnst777 BT" w:hAnsi="Humnst777 BT" w:cs="Lucida Sans Unicode"/>
          <w:sz w:val="22"/>
          <w:szCs w:val="22"/>
        </w:rPr>
        <w:t>r</w:t>
      </w:r>
      <w:r w:rsidR="00133064" w:rsidRPr="00DE6D62">
        <w:rPr>
          <w:rFonts w:ascii="Humnst777 BT" w:hAnsi="Humnst777 BT" w:cs="Lucida Sans Unicode"/>
          <w:sz w:val="22"/>
          <w:szCs w:val="22"/>
        </w:rPr>
        <w:t>oups of programmes</w:t>
      </w:r>
      <w:r w:rsidR="006302F6" w:rsidRPr="00DE6D62">
        <w:rPr>
          <w:rFonts w:ascii="Humnst777 BT" w:hAnsi="Humnst777 BT" w:cs="Lucida Sans Unicode"/>
          <w:sz w:val="22"/>
          <w:szCs w:val="22"/>
        </w:rPr>
        <w:t xml:space="preserve"> only.  These </w:t>
      </w:r>
      <w:r w:rsidR="00120327" w:rsidRPr="00DE6D62">
        <w:rPr>
          <w:rFonts w:ascii="Humnst777 BT" w:hAnsi="Humnst777 BT" w:cs="Lucida Sans Unicode"/>
          <w:sz w:val="22"/>
          <w:szCs w:val="22"/>
        </w:rPr>
        <w:t xml:space="preserve">contain </w:t>
      </w:r>
      <w:r w:rsidR="006302F6" w:rsidRPr="00DE6D62">
        <w:rPr>
          <w:rFonts w:ascii="Humnst777 BT" w:hAnsi="Humnst777 BT" w:cs="Lucida Sans Unicode"/>
          <w:sz w:val="22"/>
          <w:szCs w:val="22"/>
        </w:rPr>
        <w:t>approved variations to the general regulatory documents marked with an (*).</w:t>
      </w:r>
    </w:p>
    <w:p w:rsidR="00F80274" w:rsidRPr="00DE6D62" w:rsidRDefault="00F80274" w:rsidP="00BC3398">
      <w:pPr>
        <w:pStyle w:val="PlainText"/>
        <w:tabs>
          <w:tab w:val="left" w:pos="3510"/>
          <w:tab w:val="left" w:pos="5778"/>
        </w:tabs>
        <w:rPr>
          <w:rFonts w:ascii="Humnst777 BT" w:hAnsi="Humnst777 BT"/>
          <w:sz w:val="22"/>
          <w:szCs w:val="22"/>
        </w:rPr>
      </w:pPr>
    </w:p>
    <w:p w:rsidR="00F80274" w:rsidRPr="00DE6D62" w:rsidRDefault="00F80274" w:rsidP="00BC3398">
      <w:pPr>
        <w:pStyle w:val="PlainText"/>
        <w:tabs>
          <w:tab w:val="left" w:pos="3510"/>
          <w:tab w:val="left" w:pos="5778"/>
        </w:tabs>
        <w:rPr>
          <w:rFonts w:ascii="Humnst777 BT" w:hAnsi="Humnst777 BT"/>
          <w:sz w:val="22"/>
          <w:szCs w:val="22"/>
        </w:rPr>
      </w:pPr>
      <w:r w:rsidRPr="00DE6D62">
        <w:rPr>
          <w:rFonts w:ascii="Humnst777 BT" w:hAnsi="Humnst777 BT"/>
          <w:sz w:val="22"/>
          <w:szCs w:val="22"/>
        </w:rPr>
        <w:t>Presenting teams should note that</w:t>
      </w:r>
      <w:r w:rsidR="00120327" w:rsidRPr="00DE6D62">
        <w:rPr>
          <w:rFonts w:ascii="Humnst777 BT" w:hAnsi="Humnst777 BT"/>
          <w:sz w:val="22"/>
          <w:szCs w:val="22"/>
        </w:rPr>
        <w:t>,</w:t>
      </w:r>
      <w:r w:rsidRPr="00DE6D62">
        <w:rPr>
          <w:rFonts w:ascii="Humnst777 BT" w:hAnsi="Humnst777 BT"/>
          <w:sz w:val="22"/>
          <w:szCs w:val="22"/>
        </w:rPr>
        <w:t xml:space="preserve"> in order to avoid the inadvertent introduction of errors, documents marked with an asterisk (*)</w:t>
      </w:r>
      <w:r w:rsidR="006302F6" w:rsidRPr="00DE6D62">
        <w:rPr>
          <w:rFonts w:ascii="Humnst777 BT" w:hAnsi="Humnst777 BT"/>
          <w:sz w:val="22"/>
          <w:szCs w:val="22"/>
        </w:rPr>
        <w:t xml:space="preserve"> or a dagger (</w:t>
      </w:r>
      <w:r w:rsidR="006302F6" w:rsidRPr="00DE6D62">
        <w:rPr>
          <w:rFonts w:ascii="Humnst777 BT" w:hAnsi="Humnst777 BT" w:cs="Lucida Sans Unicode"/>
          <w:sz w:val="22"/>
          <w:szCs w:val="22"/>
        </w:rPr>
        <w:t>†)</w:t>
      </w:r>
      <w:r w:rsidR="006302F6" w:rsidRPr="00DE6D62">
        <w:rPr>
          <w:rFonts w:ascii="Humnst777 BT" w:hAnsi="Humnst777 BT"/>
          <w:sz w:val="22"/>
          <w:szCs w:val="22"/>
        </w:rPr>
        <w:t xml:space="preserve"> </w:t>
      </w:r>
      <w:r w:rsidRPr="00DE6D62">
        <w:rPr>
          <w:rFonts w:ascii="Humnst777 BT" w:hAnsi="Humnst777 BT"/>
          <w:sz w:val="22"/>
          <w:szCs w:val="22"/>
        </w:rPr>
        <w:t xml:space="preserve">should not be quoted or paraphrased in the </w:t>
      </w:r>
      <w:r w:rsidR="007226B6">
        <w:rPr>
          <w:rFonts w:ascii="Humnst777 BT" w:hAnsi="Humnst777 BT"/>
          <w:sz w:val="22"/>
          <w:szCs w:val="22"/>
        </w:rPr>
        <w:t>p</w:t>
      </w:r>
      <w:r w:rsidR="00120327" w:rsidRPr="00DE6D62">
        <w:rPr>
          <w:rFonts w:ascii="Humnst777 BT" w:hAnsi="Humnst777 BT"/>
          <w:sz w:val="22"/>
          <w:szCs w:val="22"/>
        </w:rPr>
        <w:t xml:space="preserve">rogramme </w:t>
      </w:r>
      <w:r w:rsidR="00C14B58">
        <w:rPr>
          <w:rFonts w:ascii="Humnst777 BT" w:hAnsi="Humnst777 BT"/>
          <w:sz w:val="22"/>
          <w:szCs w:val="22"/>
        </w:rPr>
        <w:t>specification</w:t>
      </w:r>
      <w:r w:rsidRPr="00DE6D62">
        <w:rPr>
          <w:rFonts w:ascii="Humnst777 BT" w:hAnsi="Humnst777 BT"/>
          <w:sz w:val="22"/>
          <w:szCs w:val="22"/>
        </w:rPr>
        <w:t xml:space="preserve">.  </w:t>
      </w:r>
      <w:r w:rsidR="006302F6" w:rsidRPr="00DE6D62">
        <w:rPr>
          <w:rFonts w:ascii="Humnst777 BT" w:hAnsi="Humnst777 BT"/>
          <w:sz w:val="22"/>
          <w:szCs w:val="22"/>
        </w:rPr>
        <w:t>In most cases, a</w:t>
      </w:r>
      <w:r w:rsidRPr="00DE6D62">
        <w:rPr>
          <w:rFonts w:ascii="Humnst777 BT" w:hAnsi="Humnst777 BT"/>
          <w:sz w:val="22"/>
          <w:szCs w:val="22"/>
        </w:rPr>
        <w:t xml:space="preserve"> simple cross reference to the document in question will suffice.  Further guidance on </w:t>
      </w:r>
      <w:r w:rsidR="00913424" w:rsidRPr="00DE6D62">
        <w:rPr>
          <w:rFonts w:ascii="Humnst777 BT" w:hAnsi="Humnst777 BT"/>
          <w:sz w:val="22"/>
          <w:szCs w:val="22"/>
        </w:rPr>
        <w:t>when this will be appropriate</w:t>
      </w:r>
      <w:r w:rsidRPr="00DE6D62">
        <w:rPr>
          <w:rFonts w:ascii="Humnst777 BT" w:hAnsi="Humnst777 BT"/>
          <w:sz w:val="22"/>
          <w:szCs w:val="22"/>
        </w:rPr>
        <w:t xml:space="preserve"> is provided in the </w:t>
      </w:r>
      <w:r w:rsidR="007226B6">
        <w:rPr>
          <w:rFonts w:ascii="Humnst777 BT" w:hAnsi="Humnst777 BT"/>
          <w:sz w:val="22"/>
          <w:szCs w:val="22"/>
        </w:rPr>
        <w:t>p</w:t>
      </w:r>
      <w:r w:rsidR="007226B6" w:rsidRPr="00DE6D62">
        <w:rPr>
          <w:rFonts w:ascii="Humnst777 BT" w:hAnsi="Humnst777 BT"/>
          <w:sz w:val="22"/>
          <w:szCs w:val="22"/>
        </w:rPr>
        <w:t xml:space="preserve">rogramme </w:t>
      </w:r>
      <w:r w:rsidR="00C14B58">
        <w:rPr>
          <w:rFonts w:ascii="Humnst777 BT" w:hAnsi="Humnst777 BT"/>
          <w:sz w:val="22"/>
          <w:szCs w:val="22"/>
        </w:rPr>
        <w:t xml:space="preserve">specification </w:t>
      </w:r>
      <w:r w:rsidRPr="00DE6D62">
        <w:rPr>
          <w:rFonts w:ascii="Humnst777 BT" w:hAnsi="Humnst777 BT"/>
          <w:sz w:val="22"/>
          <w:szCs w:val="22"/>
        </w:rPr>
        <w:t>template.</w:t>
      </w:r>
    </w:p>
    <w:p w:rsidR="00120327" w:rsidRPr="00120327" w:rsidRDefault="00120327" w:rsidP="00BC3398">
      <w:pPr>
        <w:pStyle w:val="PlainText"/>
        <w:tabs>
          <w:tab w:val="left" w:pos="3510"/>
          <w:tab w:val="left" w:pos="5778"/>
        </w:tabs>
        <w:rPr>
          <w:rFonts w:asciiTheme="minorHAnsi" w:hAnsiTheme="minorHAnsi"/>
          <w:sz w:val="24"/>
          <w:szCs w:val="24"/>
        </w:rPr>
      </w:pPr>
    </w:p>
    <w:p w:rsidR="00BF0B3C" w:rsidRPr="001C1F24" w:rsidRDefault="001C1F24" w:rsidP="00BC3398">
      <w:pPr>
        <w:pStyle w:val="PlainText"/>
        <w:tabs>
          <w:tab w:val="left" w:pos="3510"/>
          <w:tab w:val="left" w:pos="5778"/>
        </w:tabs>
        <w:rPr>
          <w:rFonts w:ascii="Humnst777 BT" w:hAnsi="Humnst777 BT"/>
          <w:sz w:val="22"/>
          <w:szCs w:val="22"/>
        </w:rPr>
      </w:pPr>
      <w:hyperlink r:id="rId26" w:history="1">
        <w:r w:rsidRPr="001C1F24">
          <w:rPr>
            <w:rStyle w:val="Hyperlink"/>
            <w:rFonts w:ascii="Humnst777 BT" w:hAnsi="Humnst777 BT"/>
            <w:sz w:val="22"/>
            <w:szCs w:val="22"/>
          </w:rPr>
          <w:t>The University's Strategic Framework 2015-20</w:t>
        </w:r>
      </w:hyperlink>
    </w:p>
    <w:p w:rsidR="00AA7409" w:rsidRPr="001C1F24" w:rsidRDefault="00AA7409" w:rsidP="00BC3398">
      <w:pPr>
        <w:pStyle w:val="PlainText"/>
        <w:tabs>
          <w:tab w:val="left" w:pos="3510"/>
          <w:tab w:val="left" w:pos="5778"/>
        </w:tabs>
        <w:rPr>
          <w:rFonts w:ascii="Humnst777 BT" w:hAnsi="Humnst777 BT"/>
          <w:sz w:val="22"/>
          <w:szCs w:val="22"/>
        </w:rPr>
      </w:pPr>
    </w:p>
    <w:p w:rsidR="00AA7409" w:rsidRPr="001C1F24" w:rsidRDefault="00AA7409" w:rsidP="00BC3398">
      <w:pPr>
        <w:pStyle w:val="PlainText"/>
        <w:tabs>
          <w:tab w:val="left" w:pos="3510"/>
          <w:tab w:val="left" w:pos="5778"/>
        </w:tabs>
        <w:rPr>
          <w:rFonts w:ascii="Humnst777 BT" w:hAnsi="Humnst777 BT"/>
          <w:b/>
          <w:sz w:val="22"/>
          <w:szCs w:val="22"/>
        </w:rPr>
      </w:pPr>
      <w:r w:rsidRPr="001C1F24">
        <w:rPr>
          <w:rFonts w:ascii="Humnst777 BT" w:hAnsi="Humnst777 BT"/>
          <w:b/>
          <w:sz w:val="22"/>
          <w:szCs w:val="22"/>
        </w:rPr>
        <w:t>University policies and procedures related to quality and standards</w:t>
      </w:r>
    </w:p>
    <w:p w:rsidR="00EF5BF4" w:rsidRPr="001C1F24" w:rsidRDefault="007804DD" w:rsidP="00BC3398">
      <w:pPr>
        <w:pStyle w:val="PlainText"/>
        <w:tabs>
          <w:tab w:val="left" w:pos="3510"/>
          <w:tab w:val="left" w:pos="5778"/>
        </w:tabs>
        <w:rPr>
          <w:rFonts w:ascii="Humnst777 BT" w:hAnsi="Humnst777 BT"/>
          <w:sz w:val="22"/>
          <w:szCs w:val="22"/>
        </w:rPr>
      </w:pPr>
      <w:r w:rsidRPr="001C1F24">
        <w:rPr>
          <w:rFonts w:ascii="Humnst777 BT" w:hAnsi="Humnst777 BT"/>
          <w:sz w:val="22"/>
          <w:szCs w:val="22"/>
        </w:rPr>
        <w:t>[Note: These links will be updated when revised versions of the documents below are published]</w:t>
      </w:r>
    </w:p>
    <w:p w:rsidR="00A01172" w:rsidRPr="001C1F24" w:rsidRDefault="00913424" w:rsidP="00BC3398">
      <w:pPr>
        <w:pStyle w:val="PlainText"/>
        <w:tabs>
          <w:tab w:val="left" w:pos="3510"/>
          <w:tab w:val="left" w:pos="5778"/>
        </w:tabs>
        <w:rPr>
          <w:rFonts w:ascii="Humnst777 BT" w:hAnsi="Humnst777 BT"/>
          <w:sz w:val="22"/>
          <w:szCs w:val="22"/>
        </w:rPr>
      </w:pPr>
      <w:r w:rsidRPr="001C1F24">
        <w:rPr>
          <w:rFonts w:ascii="Humnst777 BT" w:hAnsi="Humnst777 BT"/>
          <w:sz w:val="22"/>
          <w:szCs w:val="22"/>
        </w:rPr>
        <w:t xml:space="preserve">* </w:t>
      </w:r>
      <w:hyperlink r:id="rId27" w:history="1">
        <w:r w:rsidR="00A01172" w:rsidRPr="001C1F24">
          <w:rPr>
            <w:rStyle w:val="Hyperlink"/>
            <w:rFonts w:ascii="Humnst777 BT" w:hAnsi="Humnst777 BT"/>
            <w:sz w:val="22"/>
            <w:szCs w:val="22"/>
          </w:rPr>
          <w:t xml:space="preserve">The University Quality </w:t>
        </w:r>
        <w:r w:rsidR="00A01172" w:rsidRPr="001C1F24">
          <w:rPr>
            <w:rStyle w:val="Hyperlink"/>
            <w:rFonts w:ascii="Humnst777 BT" w:hAnsi="Humnst777 BT"/>
            <w:sz w:val="22"/>
            <w:szCs w:val="22"/>
          </w:rPr>
          <w:t>M</w:t>
        </w:r>
        <w:r w:rsidR="00A01172" w:rsidRPr="001C1F24">
          <w:rPr>
            <w:rStyle w:val="Hyperlink"/>
            <w:rFonts w:ascii="Humnst777 BT" w:hAnsi="Humnst777 BT"/>
            <w:sz w:val="22"/>
            <w:szCs w:val="22"/>
          </w:rPr>
          <w:t>anual</w:t>
        </w:r>
        <w:r w:rsidRPr="001C1F24">
          <w:rPr>
            <w:rStyle w:val="Hyperlink"/>
            <w:rFonts w:ascii="Humnst777 BT" w:hAnsi="Humnst777 BT"/>
            <w:sz w:val="22"/>
            <w:szCs w:val="22"/>
          </w:rPr>
          <w:t xml:space="preserve"> </w:t>
        </w:r>
      </w:hyperlink>
      <w:r w:rsidR="00716557" w:rsidRPr="001C1F24">
        <w:rPr>
          <w:rFonts w:ascii="Humnst777 BT" w:hAnsi="Humnst777 BT"/>
          <w:sz w:val="22"/>
          <w:szCs w:val="22"/>
        </w:rPr>
        <w:t xml:space="preserve"> </w:t>
      </w:r>
    </w:p>
    <w:p w:rsidR="00BC3398" w:rsidRPr="001C1F24" w:rsidRDefault="00DF07B9" w:rsidP="00BC3398">
      <w:pPr>
        <w:pStyle w:val="PlainText"/>
        <w:tabs>
          <w:tab w:val="left" w:pos="3510"/>
          <w:tab w:val="left" w:pos="5778"/>
        </w:tabs>
        <w:rPr>
          <w:rFonts w:ascii="Humnst777 BT" w:hAnsi="Humnst777 BT"/>
          <w:sz w:val="22"/>
          <w:szCs w:val="22"/>
        </w:rPr>
      </w:pPr>
      <w:r w:rsidRPr="001C1F24">
        <w:rPr>
          <w:rFonts w:ascii="Humnst777 BT" w:hAnsi="Humnst777 BT"/>
          <w:sz w:val="22"/>
          <w:szCs w:val="22"/>
        </w:rPr>
        <w:t xml:space="preserve">* </w:t>
      </w:r>
      <w:hyperlink r:id="rId28" w:history="1">
        <w:r w:rsidR="00A01172" w:rsidRPr="001C1F24">
          <w:rPr>
            <w:rStyle w:val="Hyperlink"/>
            <w:rFonts w:ascii="Humnst777 BT" w:hAnsi="Humnst777 BT"/>
            <w:sz w:val="22"/>
            <w:szCs w:val="22"/>
          </w:rPr>
          <w:t>External Examiners’ Hand</w:t>
        </w:r>
        <w:r w:rsidR="00A01172" w:rsidRPr="001C1F24">
          <w:rPr>
            <w:rStyle w:val="Hyperlink"/>
            <w:rFonts w:ascii="Humnst777 BT" w:hAnsi="Humnst777 BT"/>
            <w:sz w:val="22"/>
            <w:szCs w:val="22"/>
          </w:rPr>
          <w:t>b</w:t>
        </w:r>
        <w:r w:rsidR="00A01172" w:rsidRPr="001C1F24">
          <w:rPr>
            <w:rStyle w:val="Hyperlink"/>
            <w:rFonts w:ascii="Humnst777 BT" w:hAnsi="Humnst777 BT"/>
            <w:sz w:val="22"/>
            <w:szCs w:val="22"/>
          </w:rPr>
          <w:t>ook</w:t>
        </w:r>
      </w:hyperlink>
    </w:p>
    <w:p w:rsidR="00A01172" w:rsidRPr="001C1F24" w:rsidRDefault="008C3187" w:rsidP="00BC3398">
      <w:pPr>
        <w:pStyle w:val="PlainText"/>
        <w:tabs>
          <w:tab w:val="left" w:pos="3510"/>
          <w:tab w:val="left" w:pos="5778"/>
        </w:tabs>
        <w:rPr>
          <w:rFonts w:ascii="Humnst777 BT" w:hAnsi="Humnst777 BT"/>
          <w:sz w:val="22"/>
          <w:szCs w:val="22"/>
        </w:rPr>
      </w:pPr>
      <w:r w:rsidRPr="001C1F24">
        <w:rPr>
          <w:rFonts w:ascii="Humnst777 BT" w:hAnsi="Humnst777 BT"/>
          <w:sz w:val="22"/>
          <w:szCs w:val="22"/>
        </w:rPr>
        <w:t>*</w:t>
      </w:r>
      <w:r w:rsidR="00CC2FAB" w:rsidRPr="001C1F24">
        <w:rPr>
          <w:rFonts w:ascii="Humnst777 BT" w:hAnsi="Humnst777 BT"/>
          <w:sz w:val="22"/>
          <w:szCs w:val="22"/>
        </w:rPr>
        <w:t xml:space="preserve"> </w:t>
      </w:r>
      <w:r w:rsidR="00A01172" w:rsidRPr="001C1F24">
        <w:rPr>
          <w:rFonts w:ascii="Humnst777 BT" w:hAnsi="Humnst777 BT"/>
          <w:sz w:val="22"/>
          <w:szCs w:val="22"/>
        </w:rPr>
        <w:t>Handbook for</w:t>
      </w:r>
      <w:r w:rsidR="00A01172" w:rsidRPr="001C1F24">
        <w:rPr>
          <w:rFonts w:ascii="Humnst777 BT" w:hAnsi="Humnst777 BT"/>
          <w:sz w:val="22"/>
          <w:szCs w:val="22"/>
        </w:rPr>
        <w:t xml:space="preserve"> </w:t>
      </w:r>
      <w:r w:rsidR="00A01172" w:rsidRPr="001C1F24">
        <w:rPr>
          <w:rFonts w:ascii="Humnst777 BT" w:hAnsi="Humnst777 BT"/>
          <w:sz w:val="22"/>
          <w:szCs w:val="22"/>
        </w:rPr>
        <w:t>Chairs and Members of Validation</w:t>
      </w:r>
      <w:r w:rsidR="00422A23" w:rsidRPr="001C1F24">
        <w:rPr>
          <w:rFonts w:ascii="Humnst777 BT" w:hAnsi="Humnst777 BT"/>
          <w:sz w:val="22"/>
          <w:szCs w:val="22"/>
        </w:rPr>
        <w:t xml:space="preserve"> and </w:t>
      </w:r>
      <w:r w:rsidR="004429D3" w:rsidRPr="001C1F24">
        <w:rPr>
          <w:rFonts w:ascii="Humnst777 BT" w:hAnsi="Humnst777 BT"/>
          <w:sz w:val="22"/>
          <w:szCs w:val="22"/>
        </w:rPr>
        <w:t xml:space="preserve">Partner Approval </w:t>
      </w:r>
      <w:r w:rsidR="00A01172" w:rsidRPr="001C1F24">
        <w:rPr>
          <w:rFonts w:ascii="Humnst777 BT" w:hAnsi="Humnst777 BT"/>
          <w:sz w:val="22"/>
          <w:szCs w:val="22"/>
        </w:rPr>
        <w:t>Panels</w:t>
      </w:r>
      <w:r w:rsidR="0070559F" w:rsidRPr="001C1F24">
        <w:rPr>
          <w:rFonts w:ascii="Humnst777 BT" w:hAnsi="Humnst777 BT"/>
          <w:sz w:val="22"/>
          <w:szCs w:val="22"/>
        </w:rPr>
        <w:t xml:space="preserve"> </w:t>
      </w:r>
      <w:r w:rsidR="001C1F24" w:rsidRPr="001C1F24">
        <w:rPr>
          <w:rFonts w:ascii="Humnst777 BT" w:hAnsi="Humnst777 BT"/>
          <w:b/>
          <w:sz w:val="16"/>
          <w:szCs w:val="22"/>
          <w:highlight w:val="red"/>
        </w:rPr>
        <w:t>coming soon</w:t>
      </w:r>
    </w:p>
    <w:p w:rsidR="004429D3" w:rsidRPr="001C1F24" w:rsidRDefault="004429D3" w:rsidP="00BC3398">
      <w:pPr>
        <w:pStyle w:val="PlainText"/>
        <w:tabs>
          <w:tab w:val="left" w:pos="3510"/>
          <w:tab w:val="left" w:pos="5778"/>
        </w:tabs>
        <w:rPr>
          <w:rFonts w:ascii="Humnst777 BT" w:hAnsi="Humnst777 BT"/>
          <w:sz w:val="22"/>
          <w:szCs w:val="22"/>
        </w:rPr>
      </w:pPr>
      <w:r w:rsidRPr="001C1F24">
        <w:rPr>
          <w:rFonts w:ascii="Humnst777 BT" w:hAnsi="Humnst777 BT"/>
          <w:sz w:val="22"/>
          <w:szCs w:val="22"/>
        </w:rPr>
        <w:t>* Handbo</w:t>
      </w:r>
      <w:r w:rsidRPr="001C1F24">
        <w:rPr>
          <w:rFonts w:ascii="Humnst777 BT" w:hAnsi="Humnst777 BT"/>
          <w:sz w:val="22"/>
          <w:szCs w:val="22"/>
        </w:rPr>
        <w:t>o</w:t>
      </w:r>
      <w:r w:rsidRPr="001C1F24">
        <w:rPr>
          <w:rFonts w:ascii="Humnst777 BT" w:hAnsi="Humnst777 BT"/>
          <w:sz w:val="22"/>
          <w:szCs w:val="22"/>
        </w:rPr>
        <w:t>k for Chairs and Members of Periodic Programme and Partnership Review Panels</w:t>
      </w:r>
      <w:r w:rsidR="001C1F24" w:rsidRPr="001C1F24">
        <w:rPr>
          <w:rFonts w:ascii="Humnst777 BT" w:hAnsi="Humnst777 BT"/>
          <w:sz w:val="22"/>
          <w:szCs w:val="22"/>
        </w:rPr>
        <w:t xml:space="preserve"> </w:t>
      </w:r>
      <w:r w:rsidR="001C1F24" w:rsidRPr="001C1F24">
        <w:rPr>
          <w:rFonts w:ascii="Humnst777 BT" w:hAnsi="Humnst777 BT"/>
          <w:b/>
          <w:sz w:val="16"/>
          <w:szCs w:val="22"/>
          <w:highlight w:val="red"/>
        </w:rPr>
        <w:t>coming soon</w:t>
      </w:r>
    </w:p>
    <w:p w:rsidR="00CE7036" w:rsidRPr="001C1F24" w:rsidRDefault="00CE7036" w:rsidP="00BC3398">
      <w:pPr>
        <w:pStyle w:val="PlainText"/>
        <w:tabs>
          <w:tab w:val="left" w:pos="3510"/>
          <w:tab w:val="left" w:pos="5778"/>
        </w:tabs>
        <w:rPr>
          <w:rFonts w:ascii="Humnst777 BT" w:hAnsi="Humnst777 BT"/>
          <w:sz w:val="22"/>
          <w:szCs w:val="22"/>
        </w:rPr>
      </w:pPr>
    </w:p>
    <w:p w:rsidR="00AC7804" w:rsidRPr="001C1F24" w:rsidRDefault="00AC7804" w:rsidP="00BC3398">
      <w:pPr>
        <w:pStyle w:val="PlainText"/>
        <w:tabs>
          <w:tab w:val="left" w:pos="3510"/>
          <w:tab w:val="left" w:pos="5778"/>
        </w:tabs>
        <w:rPr>
          <w:rFonts w:ascii="Humnst777 BT" w:hAnsi="Humnst777 BT"/>
          <w:b/>
          <w:sz w:val="22"/>
          <w:szCs w:val="22"/>
        </w:rPr>
      </w:pPr>
      <w:r w:rsidRPr="001C1F24">
        <w:rPr>
          <w:rFonts w:ascii="Humnst777 BT" w:hAnsi="Humnst777 BT"/>
          <w:b/>
          <w:sz w:val="22"/>
          <w:szCs w:val="22"/>
        </w:rPr>
        <w:t>The University’s academic frameworks and relevant schemes</w:t>
      </w:r>
    </w:p>
    <w:p w:rsidR="00AC7804" w:rsidRPr="001C1F24" w:rsidRDefault="00613F74" w:rsidP="00AC7804">
      <w:pPr>
        <w:pStyle w:val="PlainText"/>
        <w:tabs>
          <w:tab w:val="left" w:pos="3510"/>
          <w:tab w:val="left" w:pos="5778"/>
        </w:tabs>
        <w:rPr>
          <w:rFonts w:ascii="Humnst777 BT" w:hAnsi="Humnst777 BT"/>
          <w:sz w:val="22"/>
          <w:szCs w:val="22"/>
        </w:rPr>
      </w:pPr>
      <w:r w:rsidRPr="001C1F24">
        <w:rPr>
          <w:rFonts w:ascii="Humnst777 BT" w:hAnsi="Humnst777 BT"/>
          <w:sz w:val="22"/>
          <w:szCs w:val="22"/>
        </w:rPr>
        <w:t>*</w:t>
      </w:r>
      <w:r w:rsidR="006302F6" w:rsidRPr="001C1F24">
        <w:rPr>
          <w:rFonts w:ascii="Humnst777 BT" w:hAnsi="Humnst777 BT"/>
          <w:sz w:val="22"/>
          <w:szCs w:val="22"/>
        </w:rPr>
        <w:t xml:space="preserve"> </w:t>
      </w:r>
      <w:hyperlink r:id="rId29" w:history="1">
        <w:r w:rsidR="00AC7804" w:rsidRPr="001C1F24">
          <w:rPr>
            <w:rStyle w:val="Hyperlink"/>
            <w:rFonts w:ascii="Humnst777 BT" w:hAnsi="Humnst777 BT"/>
            <w:sz w:val="22"/>
            <w:szCs w:val="22"/>
          </w:rPr>
          <w:t xml:space="preserve">The </w:t>
        </w:r>
        <w:r w:rsidR="00422A23" w:rsidRPr="001C1F24">
          <w:rPr>
            <w:rStyle w:val="Hyperlink"/>
            <w:rFonts w:ascii="Humnst777 BT" w:hAnsi="Humnst777 BT"/>
            <w:sz w:val="22"/>
            <w:szCs w:val="22"/>
          </w:rPr>
          <w:t xml:space="preserve">Regulation and Credit Framework for the Conferment of </w:t>
        </w:r>
        <w:r w:rsidR="00422A23" w:rsidRPr="001C1F24">
          <w:rPr>
            <w:rStyle w:val="Hyperlink"/>
            <w:rFonts w:ascii="Humnst777 BT" w:hAnsi="Humnst777 BT"/>
            <w:sz w:val="22"/>
            <w:szCs w:val="22"/>
          </w:rPr>
          <w:t>A</w:t>
        </w:r>
        <w:r w:rsidR="00422A23" w:rsidRPr="001C1F24">
          <w:rPr>
            <w:rStyle w:val="Hyperlink"/>
            <w:rFonts w:ascii="Humnst777 BT" w:hAnsi="Humnst777 BT"/>
            <w:sz w:val="22"/>
            <w:szCs w:val="22"/>
          </w:rPr>
          <w:t>wards</w:t>
        </w:r>
      </w:hyperlink>
    </w:p>
    <w:p w:rsidR="00E83C37" w:rsidRPr="001C1F24" w:rsidRDefault="00613F74" w:rsidP="00AC7804">
      <w:pPr>
        <w:pStyle w:val="PlainText"/>
        <w:tabs>
          <w:tab w:val="left" w:pos="3510"/>
          <w:tab w:val="left" w:pos="5778"/>
        </w:tabs>
        <w:rPr>
          <w:rFonts w:ascii="Humnst777 BT" w:hAnsi="Humnst777 BT"/>
          <w:sz w:val="22"/>
          <w:szCs w:val="22"/>
        </w:rPr>
      </w:pPr>
      <w:r w:rsidRPr="001C1F24">
        <w:rPr>
          <w:rFonts w:ascii="Humnst777 BT" w:hAnsi="Humnst777 BT"/>
          <w:sz w:val="22"/>
          <w:szCs w:val="22"/>
        </w:rPr>
        <w:t>*</w:t>
      </w:r>
      <w:r w:rsidR="00CC2FAB" w:rsidRPr="001C1F24">
        <w:rPr>
          <w:rFonts w:ascii="Humnst777 BT" w:hAnsi="Humnst777 BT"/>
          <w:sz w:val="22"/>
          <w:szCs w:val="22"/>
        </w:rPr>
        <w:t xml:space="preserve"> </w:t>
      </w:r>
      <w:hyperlink r:id="rId30" w:history="1">
        <w:r w:rsidR="00E83C37" w:rsidRPr="001C1F24">
          <w:rPr>
            <w:rStyle w:val="Hyperlink"/>
            <w:rFonts w:ascii="Humnst777 BT" w:hAnsi="Humnst777 BT"/>
            <w:sz w:val="22"/>
            <w:szCs w:val="22"/>
          </w:rPr>
          <w:t xml:space="preserve">The </w:t>
        </w:r>
        <w:r w:rsidR="002E7AAD" w:rsidRPr="001C1F24">
          <w:rPr>
            <w:rStyle w:val="Hyperlink"/>
            <w:rFonts w:ascii="Humnst777 BT" w:hAnsi="Humnst777 BT"/>
            <w:sz w:val="22"/>
            <w:szCs w:val="22"/>
          </w:rPr>
          <w:t>Postgraduate Initial Teacher E</w:t>
        </w:r>
        <w:r w:rsidR="002E7AAD" w:rsidRPr="001C1F24">
          <w:rPr>
            <w:rStyle w:val="Hyperlink"/>
            <w:rFonts w:ascii="Humnst777 BT" w:hAnsi="Humnst777 BT"/>
            <w:sz w:val="22"/>
            <w:szCs w:val="22"/>
          </w:rPr>
          <w:t>d</w:t>
        </w:r>
        <w:r w:rsidR="002E7AAD" w:rsidRPr="001C1F24">
          <w:rPr>
            <w:rStyle w:val="Hyperlink"/>
            <w:rFonts w:ascii="Humnst777 BT" w:hAnsi="Humnst777 BT"/>
            <w:sz w:val="22"/>
            <w:szCs w:val="22"/>
          </w:rPr>
          <w:t>ucation Framework</w:t>
        </w:r>
      </w:hyperlink>
    </w:p>
    <w:p w:rsidR="00AC7804" w:rsidRPr="001C1F24" w:rsidRDefault="00E83C37" w:rsidP="00AC7804">
      <w:pPr>
        <w:pStyle w:val="PlainText"/>
        <w:tabs>
          <w:tab w:val="left" w:pos="3510"/>
          <w:tab w:val="left" w:pos="5778"/>
        </w:tabs>
        <w:rPr>
          <w:rStyle w:val="Hyperlink"/>
          <w:rFonts w:ascii="Humnst777 BT" w:hAnsi="Humnst777 BT"/>
          <w:sz w:val="22"/>
          <w:szCs w:val="22"/>
        </w:rPr>
      </w:pPr>
      <w:r w:rsidRPr="001C1F24">
        <w:rPr>
          <w:rFonts w:ascii="Humnst777 BT" w:hAnsi="Humnst777 BT"/>
          <w:sz w:val="22"/>
          <w:szCs w:val="22"/>
        </w:rPr>
        <w:t xml:space="preserve">* </w:t>
      </w:r>
      <w:r w:rsidR="008C3187" w:rsidRPr="001C1F24">
        <w:rPr>
          <w:rFonts w:ascii="Humnst777 BT" w:hAnsi="Humnst777 BT"/>
          <w:sz w:val="22"/>
          <w:szCs w:val="22"/>
        </w:rPr>
        <w:fldChar w:fldCharType="begin"/>
      </w:r>
      <w:r w:rsidR="001C1F24">
        <w:rPr>
          <w:rFonts w:ascii="Humnst777 BT" w:hAnsi="Humnst777 BT"/>
          <w:sz w:val="22"/>
          <w:szCs w:val="22"/>
        </w:rPr>
        <w:instrText>HYPERLINK "http://www.canterbury.ac.uk/quality-and-standards-office/regulation-and-policy-zone/regulation-and-credit-framework.aspx"</w:instrText>
      </w:r>
      <w:r w:rsidR="001C1F24" w:rsidRPr="001C1F24">
        <w:rPr>
          <w:rFonts w:ascii="Humnst777 BT" w:hAnsi="Humnst777 BT"/>
          <w:sz w:val="22"/>
          <w:szCs w:val="22"/>
        </w:rPr>
      </w:r>
      <w:r w:rsidR="008C3187" w:rsidRPr="001C1F24">
        <w:rPr>
          <w:rFonts w:ascii="Humnst777 BT" w:hAnsi="Humnst777 BT"/>
          <w:sz w:val="22"/>
          <w:szCs w:val="22"/>
        </w:rPr>
        <w:fldChar w:fldCharType="separate"/>
      </w:r>
      <w:r w:rsidR="00AC7804" w:rsidRPr="001C1F24">
        <w:rPr>
          <w:rStyle w:val="Hyperlink"/>
          <w:rFonts w:ascii="Humnst777 BT" w:hAnsi="Humnst777 BT"/>
          <w:sz w:val="22"/>
          <w:szCs w:val="22"/>
        </w:rPr>
        <w:t>The Research Degrees Academic Framework</w:t>
      </w:r>
    </w:p>
    <w:p w:rsidR="00AC7804" w:rsidRPr="001C1F24" w:rsidRDefault="008C3187" w:rsidP="00BC3398">
      <w:pPr>
        <w:pStyle w:val="PlainText"/>
        <w:tabs>
          <w:tab w:val="left" w:pos="3510"/>
          <w:tab w:val="left" w:pos="5778"/>
        </w:tabs>
        <w:rPr>
          <w:rFonts w:ascii="Humnst777 BT" w:hAnsi="Humnst777 BT"/>
          <w:sz w:val="22"/>
          <w:szCs w:val="22"/>
        </w:rPr>
      </w:pPr>
      <w:r w:rsidRPr="001C1F24">
        <w:rPr>
          <w:rFonts w:ascii="Humnst777 BT" w:hAnsi="Humnst777 BT"/>
          <w:sz w:val="22"/>
          <w:szCs w:val="22"/>
        </w:rPr>
        <w:fldChar w:fldCharType="end"/>
      </w:r>
      <w:r w:rsidR="00E83C37" w:rsidRPr="001C1F24">
        <w:rPr>
          <w:rFonts w:ascii="Humnst777 BT" w:hAnsi="Humnst777 BT"/>
          <w:sz w:val="22"/>
          <w:szCs w:val="22"/>
        </w:rPr>
        <w:t xml:space="preserve">Some programmes have </w:t>
      </w:r>
      <w:r w:rsidR="00CC2FAB" w:rsidRPr="001C1F24">
        <w:rPr>
          <w:rFonts w:ascii="Humnst777 BT" w:hAnsi="Humnst777 BT" w:cs="Lucida Sans Unicode"/>
          <w:sz w:val="22"/>
          <w:szCs w:val="22"/>
        </w:rPr>
        <w:t xml:space="preserve">† </w:t>
      </w:r>
      <w:hyperlink r:id="rId31" w:history="1">
        <w:r w:rsidR="00E83C37" w:rsidRPr="001C1F24">
          <w:rPr>
            <w:rStyle w:val="Hyperlink"/>
            <w:rFonts w:ascii="Humnst777 BT" w:hAnsi="Humnst777 BT"/>
            <w:sz w:val="22"/>
            <w:szCs w:val="22"/>
          </w:rPr>
          <w:t>Special Regu</w:t>
        </w:r>
        <w:r w:rsidR="00E83C37" w:rsidRPr="001C1F24">
          <w:rPr>
            <w:rStyle w:val="Hyperlink"/>
            <w:rFonts w:ascii="Humnst777 BT" w:hAnsi="Humnst777 BT"/>
            <w:sz w:val="22"/>
            <w:szCs w:val="22"/>
          </w:rPr>
          <w:t>l</w:t>
        </w:r>
        <w:r w:rsidR="00E83C37" w:rsidRPr="001C1F24">
          <w:rPr>
            <w:rStyle w:val="Hyperlink"/>
            <w:rFonts w:ascii="Humnst777 BT" w:hAnsi="Humnst777 BT"/>
            <w:sz w:val="22"/>
            <w:szCs w:val="22"/>
          </w:rPr>
          <w:t>ations</w:t>
        </w:r>
      </w:hyperlink>
      <w:r w:rsidR="00E83C37" w:rsidRPr="001C1F24">
        <w:rPr>
          <w:rFonts w:ascii="Humnst777 BT" w:hAnsi="Humnst777 BT"/>
          <w:sz w:val="22"/>
          <w:szCs w:val="22"/>
        </w:rPr>
        <w:t xml:space="preserve"> </w:t>
      </w:r>
    </w:p>
    <w:p w:rsidR="00E83C37" w:rsidRPr="001C1F24" w:rsidRDefault="00E83C37" w:rsidP="00BC3398">
      <w:pPr>
        <w:pStyle w:val="PlainText"/>
        <w:tabs>
          <w:tab w:val="left" w:pos="3510"/>
          <w:tab w:val="left" w:pos="5778"/>
        </w:tabs>
        <w:rPr>
          <w:rFonts w:ascii="Humnst777 BT" w:hAnsi="Humnst777 BT"/>
          <w:sz w:val="22"/>
          <w:szCs w:val="22"/>
          <w:highlight w:val="yellow"/>
        </w:rPr>
      </w:pPr>
    </w:p>
    <w:p w:rsidR="00EF5BF4" w:rsidRPr="001C1F24" w:rsidRDefault="00580D0C" w:rsidP="00C14B58">
      <w:pPr>
        <w:pStyle w:val="PlainText"/>
        <w:tabs>
          <w:tab w:val="left" w:pos="3510"/>
          <w:tab w:val="left" w:pos="5778"/>
        </w:tabs>
        <w:rPr>
          <w:rFonts w:ascii="Humnst777 BT" w:hAnsi="Humnst777 BT"/>
          <w:b/>
          <w:sz w:val="22"/>
          <w:szCs w:val="22"/>
        </w:rPr>
      </w:pPr>
      <w:r w:rsidRPr="001C1F24">
        <w:rPr>
          <w:rFonts w:ascii="Humnst777 BT" w:hAnsi="Humnst777 BT"/>
          <w:b/>
          <w:sz w:val="22"/>
          <w:szCs w:val="22"/>
        </w:rPr>
        <w:t xml:space="preserve">University </w:t>
      </w:r>
      <w:r w:rsidR="001C1F24">
        <w:rPr>
          <w:rFonts w:ascii="Humnst777 BT" w:hAnsi="Humnst777 BT"/>
          <w:b/>
          <w:sz w:val="22"/>
          <w:szCs w:val="22"/>
        </w:rPr>
        <w:t>Assessment Procedures</w:t>
      </w:r>
    </w:p>
    <w:p w:rsidR="00422A23" w:rsidRPr="001C1F24" w:rsidRDefault="001C1F24" w:rsidP="00CC2FAB">
      <w:pPr>
        <w:pStyle w:val="PlainText"/>
        <w:tabs>
          <w:tab w:val="left" w:pos="3510"/>
          <w:tab w:val="left" w:pos="5778"/>
        </w:tabs>
        <w:rPr>
          <w:rStyle w:val="Hyperlink"/>
          <w:rFonts w:ascii="Humnst777 BT" w:hAnsi="Humnst777 BT"/>
          <w:sz w:val="22"/>
          <w:szCs w:val="22"/>
        </w:rPr>
      </w:pPr>
      <w:r>
        <w:rPr>
          <w:rFonts w:ascii="Humnst777 BT" w:hAnsi="Humnst777 BT"/>
          <w:sz w:val="22"/>
          <w:szCs w:val="22"/>
        </w:rPr>
        <w:fldChar w:fldCharType="begin"/>
      </w:r>
      <w:r>
        <w:rPr>
          <w:rFonts w:ascii="Humnst777 BT" w:hAnsi="Humnst777 BT"/>
          <w:sz w:val="22"/>
          <w:szCs w:val="22"/>
        </w:rPr>
        <w:instrText xml:space="preserve"> HYPERLINK "http://www.canterbury.ac.uk/quality-and-standards-office/assessment-procedures.aspx" </w:instrText>
      </w:r>
      <w:r>
        <w:rPr>
          <w:rFonts w:ascii="Humnst777 BT" w:hAnsi="Humnst777 BT"/>
          <w:sz w:val="22"/>
          <w:szCs w:val="22"/>
        </w:rPr>
      </w:r>
      <w:r>
        <w:rPr>
          <w:rFonts w:ascii="Humnst777 BT" w:hAnsi="Humnst777 BT"/>
          <w:sz w:val="22"/>
          <w:szCs w:val="22"/>
        </w:rPr>
        <w:fldChar w:fldCharType="separate"/>
      </w:r>
      <w:r w:rsidR="00422A23" w:rsidRPr="001C1F24">
        <w:rPr>
          <w:rStyle w:val="Hyperlink"/>
          <w:rFonts w:ascii="Humnst777 BT" w:hAnsi="Humnst777 BT"/>
          <w:sz w:val="22"/>
          <w:szCs w:val="22"/>
        </w:rPr>
        <w:t>Assess</w:t>
      </w:r>
      <w:r w:rsidR="00422A23" w:rsidRPr="001C1F24">
        <w:rPr>
          <w:rStyle w:val="Hyperlink"/>
          <w:rFonts w:ascii="Humnst777 BT" w:hAnsi="Humnst777 BT"/>
          <w:sz w:val="22"/>
          <w:szCs w:val="22"/>
        </w:rPr>
        <w:t>m</w:t>
      </w:r>
      <w:r w:rsidR="00422A23" w:rsidRPr="001C1F24">
        <w:rPr>
          <w:rStyle w:val="Hyperlink"/>
          <w:rFonts w:ascii="Humnst777 BT" w:hAnsi="Humnst777 BT"/>
          <w:sz w:val="22"/>
          <w:szCs w:val="22"/>
        </w:rPr>
        <w:t>ent Procedures</w:t>
      </w:r>
    </w:p>
    <w:p w:rsidR="000E57B8" w:rsidRPr="001C1F24" w:rsidRDefault="001C1F24" w:rsidP="00BC3398">
      <w:pPr>
        <w:shd w:val="clear" w:color="auto" w:fill="FFFFFF"/>
        <w:tabs>
          <w:tab w:val="left" w:pos="3510"/>
          <w:tab w:val="left" w:pos="5778"/>
        </w:tabs>
        <w:rPr>
          <w:rFonts w:ascii="Humnst777 BT" w:hAnsi="Humnst777 BT" w:cs="Arial"/>
          <w:highlight w:val="yellow"/>
        </w:rPr>
      </w:pPr>
      <w:r>
        <w:rPr>
          <w:rFonts w:ascii="Humnst777 BT" w:hAnsi="Humnst777 BT"/>
        </w:rPr>
        <w:fldChar w:fldCharType="end"/>
      </w:r>
    </w:p>
    <w:p w:rsidR="00D3169A" w:rsidRPr="001C1F24" w:rsidRDefault="008D50FA" w:rsidP="00D3169A">
      <w:pPr>
        <w:pStyle w:val="PlainText"/>
        <w:tabs>
          <w:tab w:val="left" w:pos="3510"/>
          <w:tab w:val="left" w:pos="5778"/>
        </w:tabs>
        <w:rPr>
          <w:rFonts w:ascii="Humnst777 BT" w:hAnsi="Humnst777 BT"/>
          <w:b/>
          <w:sz w:val="22"/>
          <w:szCs w:val="22"/>
        </w:rPr>
      </w:pPr>
      <w:r w:rsidRPr="001C1F24">
        <w:rPr>
          <w:rFonts w:ascii="Humnst777 BT" w:hAnsi="Humnst777 BT"/>
          <w:b/>
          <w:sz w:val="22"/>
          <w:szCs w:val="22"/>
        </w:rPr>
        <w:t>Other University policies, strategies and resources</w:t>
      </w:r>
      <w:r w:rsidR="00D3169A" w:rsidRPr="001C1F24">
        <w:rPr>
          <w:rFonts w:ascii="Humnst777 BT" w:hAnsi="Humnst777 BT"/>
          <w:b/>
          <w:sz w:val="22"/>
          <w:szCs w:val="22"/>
        </w:rPr>
        <w:t xml:space="preserve"> related to </w:t>
      </w:r>
      <w:r w:rsidRPr="001C1F24">
        <w:rPr>
          <w:rFonts w:ascii="Humnst777 BT" w:hAnsi="Humnst777 BT"/>
          <w:b/>
          <w:sz w:val="22"/>
          <w:szCs w:val="22"/>
        </w:rPr>
        <w:t>l</w:t>
      </w:r>
      <w:r w:rsidR="00D3169A" w:rsidRPr="001C1F24">
        <w:rPr>
          <w:rFonts w:ascii="Humnst777 BT" w:hAnsi="Humnst777 BT"/>
          <w:b/>
          <w:sz w:val="22"/>
          <w:szCs w:val="22"/>
        </w:rPr>
        <w:t>earning, teaching</w:t>
      </w:r>
      <w:r w:rsidR="00422A23" w:rsidRPr="001C1F24">
        <w:rPr>
          <w:rFonts w:ascii="Humnst777 BT" w:hAnsi="Humnst777 BT"/>
          <w:b/>
          <w:sz w:val="22"/>
          <w:szCs w:val="22"/>
        </w:rPr>
        <w:t>,</w:t>
      </w:r>
      <w:r w:rsidR="00D3169A" w:rsidRPr="001C1F24">
        <w:rPr>
          <w:rFonts w:ascii="Humnst777 BT" w:hAnsi="Humnst777 BT"/>
          <w:b/>
          <w:sz w:val="22"/>
          <w:szCs w:val="22"/>
        </w:rPr>
        <w:t xml:space="preserve"> </w:t>
      </w:r>
      <w:r w:rsidRPr="001C1F24">
        <w:rPr>
          <w:rFonts w:ascii="Humnst777 BT" w:hAnsi="Humnst777 BT"/>
          <w:b/>
          <w:sz w:val="22"/>
          <w:szCs w:val="22"/>
        </w:rPr>
        <w:t>assessment</w:t>
      </w:r>
      <w:r w:rsidR="00422A23" w:rsidRPr="001C1F24">
        <w:rPr>
          <w:rFonts w:ascii="Humnst777 BT" w:hAnsi="Humnst777 BT"/>
          <w:b/>
          <w:sz w:val="22"/>
          <w:szCs w:val="22"/>
        </w:rPr>
        <w:t xml:space="preserve"> and the student experience</w:t>
      </w:r>
    </w:p>
    <w:p w:rsidR="00D3169A" w:rsidRPr="001C1F24" w:rsidRDefault="00E216E8" w:rsidP="00D3169A">
      <w:pPr>
        <w:pStyle w:val="PlainText"/>
        <w:tabs>
          <w:tab w:val="left" w:pos="3510"/>
          <w:tab w:val="left" w:pos="5778"/>
        </w:tabs>
        <w:rPr>
          <w:rStyle w:val="Hyperlink"/>
          <w:rFonts w:ascii="Humnst777 BT" w:hAnsi="Humnst777 BT"/>
          <w:sz w:val="22"/>
          <w:szCs w:val="22"/>
        </w:rPr>
      </w:pPr>
      <w:r w:rsidRPr="001C1F24">
        <w:rPr>
          <w:rStyle w:val="Hyperlink"/>
        </w:rPr>
        <w:fldChar w:fldCharType="begin"/>
      </w:r>
      <w:r w:rsidR="001C1F24" w:rsidRPr="001C1F24">
        <w:rPr>
          <w:rStyle w:val="Hyperlink"/>
        </w:rPr>
        <w:instrText>HYPERLINK "http://www.canterbury.ac.uk/learning-and-teaching-enhancement/what-we-do/policies-and-resources/learning-teaching-and-assessment-strategy.aspx"</w:instrText>
      </w:r>
      <w:r w:rsidR="001C1F24" w:rsidRPr="001C1F24">
        <w:rPr>
          <w:rStyle w:val="Hyperlink"/>
        </w:rPr>
      </w:r>
      <w:r w:rsidRPr="001C1F24">
        <w:rPr>
          <w:rStyle w:val="Hyperlink"/>
        </w:rPr>
        <w:fldChar w:fldCharType="separate"/>
      </w:r>
      <w:r w:rsidR="00D3169A" w:rsidRPr="001C1F24">
        <w:rPr>
          <w:rStyle w:val="Hyperlink"/>
          <w:rFonts w:ascii="Humnst777 BT" w:hAnsi="Humnst777 BT"/>
          <w:sz w:val="22"/>
          <w:szCs w:val="22"/>
        </w:rPr>
        <w:t>The University Learning</w:t>
      </w:r>
      <w:r w:rsidR="001C1F24" w:rsidRPr="001C1F24">
        <w:rPr>
          <w:rStyle w:val="Hyperlink"/>
          <w:rFonts w:ascii="Humnst777 BT" w:hAnsi="Humnst777 BT"/>
          <w:sz w:val="22"/>
          <w:szCs w:val="22"/>
        </w:rPr>
        <w:t xml:space="preserve"> and </w:t>
      </w:r>
      <w:r w:rsidR="00D3169A" w:rsidRPr="001C1F24">
        <w:rPr>
          <w:rStyle w:val="Hyperlink"/>
          <w:rFonts w:ascii="Humnst777 BT" w:hAnsi="Humnst777 BT"/>
          <w:sz w:val="22"/>
          <w:szCs w:val="22"/>
        </w:rPr>
        <w:t>T</w:t>
      </w:r>
      <w:r w:rsidR="00D3169A" w:rsidRPr="001C1F24">
        <w:rPr>
          <w:rStyle w:val="Hyperlink"/>
          <w:rFonts w:ascii="Humnst777 BT" w:hAnsi="Humnst777 BT"/>
          <w:sz w:val="22"/>
          <w:szCs w:val="22"/>
        </w:rPr>
        <w:t>eaching</w:t>
      </w:r>
      <w:r w:rsidR="00FE0B42" w:rsidRPr="001C1F24">
        <w:rPr>
          <w:rStyle w:val="Hyperlink"/>
          <w:rFonts w:ascii="Humnst777 BT" w:hAnsi="Humnst777 BT"/>
          <w:sz w:val="22"/>
          <w:szCs w:val="22"/>
        </w:rPr>
        <w:t xml:space="preserve"> </w:t>
      </w:r>
      <w:r w:rsidR="00D3169A" w:rsidRPr="001C1F24">
        <w:rPr>
          <w:rStyle w:val="Hyperlink"/>
          <w:rFonts w:ascii="Humnst777 BT" w:hAnsi="Humnst777 BT"/>
          <w:sz w:val="22"/>
          <w:szCs w:val="22"/>
        </w:rPr>
        <w:t>Strategy</w:t>
      </w:r>
    </w:p>
    <w:p w:rsidR="00FE0B42" w:rsidRPr="001C1F24" w:rsidRDefault="00E216E8">
      <w:pPr>
        <w:pStyle w:val="PlainText"/>
        <w:tabs>
          <w:tab w:val="left" w:pos="3510"/>
          <w:tab w:val="left" w:pos="5778"/>
        </w:tabs>
        <w:rPr>
          <w:rFonts w:ascii="Humnst777 BT" w:hAnsi="Humnst777 BT"/>
          <w:color w:val="0070C0"/>
          <w:sz w:val="22"/>
          <w:szCs w:val="22"/>
        </w:rPr>
      </w:pPr>
      <w:r w:rsidRPr="001C1F24">
        <w:rPr>
          <w:rStyle w:val="Hyperlink"/>
        </w:rPr>
        <w:fldChar w:fldCharType="end"/>
      </w:r>
      <w:hyperlink r:id="rId32" w:history="1">
        <w:r w:rsidR="00FE0B42" w:rsidRPr="001C1F24">
          <w:rPr>
            <w:rStyle w:val="Hyperlink"/>
            <w:rFonts w:ascii="Humnst777 BT" w:hAnsi="Humnst777 BT"/>
            <w:sz w:val="22"/>
            <w:szCs w:val="22"/>
          </w:rPr>
          <w:t>Technology Enhanced Learning and Teaching Stra</w:t>
        </w:r>
        <w:r w:rsidR="00FE0B42" w:rsidRPr="001C1F24">
          <w:rPr>
            <w:rStyle w:val="Hyperlink"/>
            <w:rFonts w:ascii="Humnst777 BT" w:hAnsi="Humnst777 BT"/>
            <w:sz w:val="22"/>
            <w:szCs w:val="22"/>
          </w:rPr>
          <w:t>t</w:t>
        </w:r>
        <w:r w:rsidR="00FE0B42" w:rsidRPr="001C1F24">
          <w:rPr>
            <w:rStyle w:val="Hyperlink"/>
            <w:rFonts w:ascii="Humnst777 BT" w:hAnsi="Humnst777 BT"/>
            <w:sz w:val="22"/>
            <w:szCs w:val="22"/>
          </w:rPr>
          <w:t>egy</w:t>
        </w:r>
      </w:hyperlink>
      <w:r w:rsidR="00CC2FAB" w:rsidRPr="001C1F24">
        <w:rPr>
          <w:rFonts w:ascii="Humnst777 BT" w:hAnsi="Humnst777 BT"/>
          <w:color w:val="0070C0"/>
          <w:sz w:val="22"/>
          <w:szCs w:val="22"/>
        </w:rPr>
        <w:t xml:space="preserve"> </w:t>
      </w:r>
    </w:p>
    <w:p w:rsidR="001851BD" w:rsidRPr="001C1F24" w:rsidRDefault="001C1F24" w:rsidP="00D3169A">
      <w:pPr>
        <w:pStyle w:val="PlainText"/>
        <w:tabs>
          <w:tab w:val="left" w:pos="3510"/>
          <w:tab w:val="left" w:pos="5778"/>
        </w:tabs>
        <w:rPr>
          <w:rStyle w:val="Hyperlink"/>
          <w:rFonts w:ascii="Humnst777 BT" w:hAnsi="Humnst777 BT"/>
          <w:sz w:val="22"/>
          <w:szCs w:val="22"/>
        </w:rPr>
      </w:pPr>
      <w:r>
        <w:rPr>
          <w:rFonts w:ascii="Humnst777 BT" w:hAnsi="Humnst777 BT"/>
          <w:sz w:val="22"/>
          <w:szCs w:val="22"/>
        </w:rPr>
        <w:fldChar w:fldCharType="begin"/>
      </w:r>
      <w:r>
        <w:rPr>
          <w:rFonts w:ascii="Humnst777 BT" w:hAnsi="Humnst777 BT"/>
          <w:sz w:val="22"/>
          <w:szCs w:val="22"/>
        </w:rPr>
        <w:instrText xml:space="preserve"> HYPERLINK "http://www.canterbury.ac.uk/learning-and-teaching-enhancement/what-we-do/policies-and-resources/timely-feedback.aspx" </w:instrText>
      </w:r>
      <w:r>
        <w:rPr>
          <w:rFonts w:ascii="Humnst777 BT" w:hAnsi="Humnst777 BT"/>
          <w:sz w:val="22"/>
          <w:szCs w:val="22"/>
        </w:rPr>
      </w:r>
      <w:r>
        <w:rPr>
          <w:rFonts w:ascii="Humnst777 BT" w:hAnsi="Humnst777 BT"/>
          <w:sz w:val="22"/>
          <w:szCs w:val="22"/>
        </w:rPr>
        <w:fldChar w:fldCharType="separate"/>
      </w:r>
      <w:r w:rsidR="002E7AAD" w:rsidRPr="001C1F24">
        <w:rPr>
          <w:rStyle w:val="Hyperlink"/>
          <w:rFonts w:ascii="Humnst777 BT" w:hAnsi="Humnst777 BT"/>
          <w:sz w:val="22"/>
          <w:szCs w:val="22"/>
        </w:rPr>
        <w:t xml:space="preserve">Timely Feedback </w:t>
      </w:r>
      <w:r w:rsidR="002E7AAD" w:rsidRPr="001C1F24">
        <w:rPr>
          <w:rStyle w:val="Hyperlink"/>
          <w:rFonts w:ascii="Humnst777 BT" w:hAnsi="Humnst777 BT"/>
          <w:sz w:val="22"/>
          <w:szCs w:val="22"/>
        </w:rPr>
        <w:t>P</w:t>
      </w:r>
      <w:r w:rsidR="002E7AAD" w:rsidRPr="001C1F24">
        <w:rPr>
          <w:rStyle w:val="Hyperlink"/>
          <w:rFonts w:ascii="Humnst777 BT" w:hAnsi="Humnst777 BT"/>
          <w:sz w:val="22"/>
          <w:szCs w:val="22"/>
        </w:rPr>
        <w:t>olicy</w:t>
      </w:r>
    </w:p>
    <w:p w:rsidR="00D3169A" w:rsidRPr="001C1F24" w:rsidRDefault="001C1F24" w:rsidP="001C1F24">
      <w:pPr>
        <w:pStyle w:val="PlainText"/>
        <w:tabs>
          <w:tab w:val="left" w:pos="3510"/>
          <w:tab w:val="left" w:pos="5778"/>
        </w:tabs>
        <w:rPr>
          <w:rStyle w:val="Hyperlink"/>
          <w:rFonts w:ascii="Humnst777 BT" w:hAnsi="Humnst777 BT"/>
          <w:sz w:val="22"/>
          <w:szCs w:val="22"/>
        </w:rPr>
      </w:pPr>
      <w:r>
        <w:rPr>
          <w:rFonts w:ascii="Humnst777 BT" w:hAnsi="Humnst777 BT"/>
        </w:rPr>
        <w:fldChar w:fldCharType="end"/>
      </w:r>
      <w:r w:rsidR="00E216E8" w:rsidRPr="001C1F24">
        <w:rPr>
          <w:rStyle w:val="Hyperlink"/>
        </w:rPr>
        <w:fldChar w:fldCharType="begin"/>
      </w:r>
      <w:r>
        <w:rPr>
          <w:rStyle w:val="Hyperlink"/>
        </w:rPr>
        <w:instrText>HYPERLINK "http://www.canterbury.ac.uk/learning-and-teaching-enhancement/what-we-do/policies-and-resources/plagiarism.aspx"</w:instrText>
      </w:r>
      <w:r w:rsidRPr="001C1F24">
        <w:rPr>
          <w:rStyle w:val="Hyperlink"/>
        </w:rPr>
      </w:r>
      <w:r w:rsidR="00E216E8" w:rsidRPr="001C1F24">
        <w:rPr>
          <w:rStyle w:val="Hyperlink"/>
        </w:rPr>
        <w:fldChar w:fldCharType="separate"/>
      </w:r>
      <w:r w:rsidR="00D3169A" w:rsidRPr="001C1F24">
        <w:rPr>
          <w:rStyle w:val="Hyperlink"/>
          <w:rFonts w:ascii="Humnst777 BT" w:hAnsi="Humnst777 BT"/>
          <w:sz w:val="22"/>
          <w:szCs w:val="22"/>
        </w:rPr>
        <w:t>Plagiarism Po</w:t>
      </w:r>
      <w:r w:rsidR="00D3169A" w:rsidRPr="001C1F24">
        <w:rPr>
          <w:rStyle w:val="Hyperlink"/>
          <w:rFonts w:ascii="Humnst777 BT" w:hAnsi="Humnst777 BT"/>
          <w:sz w:val="22"/>
          <w:szCs w:val="22"/>
        </w:rPr>
        <w:t>l</w:t>
      </w:r>
      <w:r w:rsidR="00D3169A" w:rsidRPr="001C1F24">
        <w:rPr>
          <w:rStyle w:val="Hyperlink"/>
          <w:rFonts w:ascii="Humnst777 BT" w:hAnsi="Humnst777 BT"/>
          <w:sz w:val="22"/>
          <w:szCs w:val="22"/>
        </w:rPr>
        <w:t>icy</w:t>
      </w:r>
    </w:p>
    <w:p w:rsidR="002E7AAD" w:rsidRPr="001C1F24" w:rsidRDefault="00E216E8" w:rsidP="001C1F24">
      <w:pPr>
        <w:pStyle w:val="PlainText"/>
        <w:tabs>
          <w:tab w:val="left" w:pos="3510"/>
          <w:tab w:val="left" w:pos="5778"/>
        </w:tabs>
        <w:rPr>
          <w:rFonts w:ascii="Humnst777 BT" w:hAnsi="Humnst777 BT"/>
          <w:sz w:val="22"/>
          <w:szCs w:val="22"/>
        </w:rPr>
      </w:pPr>
      <w:r w:rsidRPr="001C1F24">
        <w:rPr>
          <w:rStyle w:val="Hyperlink"/>
        </w:rPr>
        <w:fldChar w:fldCharType="end"/>
      </w:r>
      <w:bookmarkStart w:id="0" w:name="_Hlk431477252"/>
      <w:r w:rsidR="002E7AAD" w:rsidRPr="006B31D4">
        <w:rPr>
          <w:rFonts w:ascii="Humnst777 BT" w:hAnsi="Humnst777 BT"/>
          <w:sz w:val="22"/>
          <w:szCs w:val="22"/>
        </w:rPr>
        <w:t>Graduate Skil</w:t>
      </w:r>
      <w:r w:rsidR="002E7AAD" w:rsidRPr="006B31D4">
        <w:rPr>
          <w:rFonts w:ascii="Humnst777 BT" w:hAnsi="Humnst777 BT"/>
          <w:sz w:val="22"/>
          <w:szCs w:val="22"/>
        </w:rPr>
        <w:t>l</w:t>
      </w:r>
      <w:r w:rsidR="002E7AAD" w:rsidRPr="006B31D4">
        <w:rPr>
          <w:rFonts w:ascii="Humnst777 BT" w:hAnsi="Humnst777 BT"/>
          <w:sz w:val="22"/>
          <w:szCs w:val="22"/>
        </w:rPr>
        <w:t>s</w:t>
      </w:r>
    </w:p>
    <w:bookmarkEnd w:id="0"/>
    <w:p w:rsidR="00C127AF" w:rsidRPr="006B31D4" w:rsidRDefault="00613F74" w:rsidP="006B31D4">
      <w:pPr>
        <w:pStyle w:val="PlainText"/>
        <w:tabs>
          <w:tab w:val="left" w:pos="3510"/>
          <w:tab w:val="left" w:pos="5778"/>
        </w:tabs>
        <w:rPr>
          <w:rStyle w:val="Hyperlink"/>
        </w:rPr>
      </w:pPr>
      <w:r w:rsidRPr="006B31D4">
        <w:rPr>
          <w:rStyle w:val="Hyperlink"/>
        </w:rPr>
        <w:t>*</w:t>
      </w:r>
      <w:hyperlink r:id="rId33" w:history="1">
        <w:r w:rsidR="00C127AF" w:rsidRPr="006B31D4">
          <w:rPr>
            <w:rStyle w:val="Hyperlink"/>
            <w:rFonts w:ascii="Humnst777 BT" w:hAnsi="Humnst777 BT"/>
            <w:sz w:val="22"/>
            <w:szCs w:val="22"/>
          </w:rPr>
          <w:t xml:space="preserve">Level 4 Generic Assessment </w:t>
        </w:r>
        <w:r w:rsidR="00C127AF" w:rsidRPr="006B31D4">
          <w:rPr>
            <w:rStyle w:val="Hyperlink"/>
            <w:rFonts w:ascii="Humnst777 BT" w:hAnsi="Humnst777 BT"/>
            <w:sz w:val="22"/>
            <w:szCs w:val="22"/>
          </w:rPr>
          <w:t>C</w:t>
        </w:r>
        <w:r w:rsidR="00C127AF" w:rsidRPr="006B31D4">
          <w:rPr>
            <w:rStyle w:val="Hyperlink"/>
            <w:rFonts w:ascii="Humnst777 BT" w:hAnsi="Humnst777 BT"/>
            <w:sz w:val="22"/>
            <w:szCs w:val="22"/>
          </w:rPr>
          <w:t>riteria for Undergraduate Programmes</w:t>
        </w:r>
      </w:hyperlink>
    </w:p>
    <w:p w:rsidR="00C127AF" w:rsidRPr="006B31D4" w:rsidRDefault="00613F74" w:rsidP="006B31D4">
      <w:pPr>
        <w:pStyle w:val="PlainText"/>
        <w:tabs>
          <w:tab w:val="left" w:pos="3510"/>
          <w:tab w:val="left" w:pos="5778"/>
        </w:tabs>
        <w:rPr>
          <w:rStyle w:val="Hyperlink"/>
        </w:rPr>
      </w:pPr>
      <w:r w:rsidRPr="006B31D4">
        <w:rPr>
          <w:rStyle w:val="Hyperlink"/>
        </w:rPr>
        <w:t>*</w:t>
      </w:r>
      <w:r w:rsidR="006B31D4">
        <w:rPr>
          <w:rStyle w:val="Hyperlink"/>
          <w:rFonts w:ascii="Humnst777 BT" w:hAnsi="Humnst777 BT"/>
          <w:sz w:val="22"/>
          <w:szCs w:val="22"/>
        </w:rPr>
        <w:fldChar w:fldCharType="begin"/>
      </w:r>
      <w:r w:rsidR="006B31D4">
        <w:rPr>
          <w:rStyle w:val="Hyperlink"/>
          <w:rFonts w:ascii="Humnst777 BT" w:hAnsi="Humnst777 BT"/>
          <w:sz w:val="22"/>
          <w:szCs w:val="22"/>
        </w:rPr>
        <w:instrText xml:space="preserve"> HYPERLINK "http://www.canterbury.ac.uk/quality-and-standards-office/docs/Assessment-grading-criteria---Level-5-final-04-10-10.pdf" </w:instrText>
      </w:r>
      <w:r w:rsidR="006B31D4">
        <w:rPr>
          <w:rStyle w:val="Hyperlink"/>
          <w:rFonts w:ascii="Humnst777 BT" w:hAnsi="Humnst777 BT"/>
          <w:sz w:val="22"/>
          <w:szCs w:val="22"/>
        </w:rPr>
      </w:r>
      <w:r w:rsidR="006B31D4">
        <w:rPr>
          <w:rStyle w:val="Hyperlink"/>
          <w:rFonts w:ascii="Humnst777 BT" w:hAnsi="Humnst777 BT"/>
          <w:sz w:val="22"/>
          <w:szCs w:val="22"/>
        </w:rPr>
        <w:fldChar w:fldCharType="separate"/>
      </w:r>
      <w:r w:rsidR="00C127AF" w:rsidRPr="006B31D4">
        <w:rPr>
          <w:rStyle w:val="Hyperlink"/>
          <w:rFonts w:ascii="Humnst777 BT" w:hAnsi="Humnst777 BT"/>
          <w:sz w:val="22"/>
          <w:szCs w:val="22"/>
        </w:rPr>
        <w:t>Level 5 Generic Assessment Criteria for Undergraduat</w:t>
      </w:r>
      <w:r w:rsidR="00C127AF" w:rsidRPr="006B31D4">
        <w:rPr>
          <w:rStyle w:val="Hyperlink"/>
          <w:rFonts w:ascii="Humnst777 BT" w:hAnsi="Humnst777 BT"/>
          <w:sz w:val="22"/>
          <w:szCs w:val="22"/>
        </w:rPr>
        <w:t>e</w:t>
      </w:r>
      <w:r w:rsidR="00C127AF" w:rsidRPr="006B31D4">
        <w:rPr>
          <w:rStyle w:val="Hyperlink"/>
          <w:rFonts w:ascii="Humnst777 BT" w:hAnsi="Humnst777 BT"/>
          <w:sz w:val="22"/>
          <w:szCs w:val="22"/>
        </w:rPr>
        <w:t xml:space="preserve"> Programmes</w:t>
      </w:r>
    </w:p>
    <w:p w:rsidR="00C127AF" w:rsidRPr="006B31D4" w:rsidRDefault="006B31D4" w:rsidP="006B31D4">
      <w:pPr>
        <w:pStyle w:val="PlainText"/>
        <w:tabs>
          <w:tab w:val="left" w:pos="3510"/>
          <w:tab w:val="left" w:pos="5778"/>
        </w:tabs>
        <w:rPr>
          <w:rStyle w:val="Hyperlink"/>
        </w:rPr>
      </w:pPr>
      <w:r>
        <w:rPr>
          <w:rStyle w:val="Hyperlink"/>
          <w:rFonts w:ascii="Humnst777 BT" w:hAnsi="Humnst777 BT"/>
          <w:sz w:val="22"/>
          <w:szCs w:val="22"/>
        </w:rPr>
        <w:fldChar w:fldCharType="end"/>
      </w:r>
      <w:r w:rsidR="00613F74" w:rsidRPr="006B31D4">
        <w:rPr>
          <w:rStyle w:val="Hyperlink"/>
        </w:rPr>
        <w:t>*</w:t>
      </w:r>
      <w:hyperlink r:id="rId34" w:history="1">
        <w:r w:rsidR="00C127AF" w:rsidRPr="006B31D4">
          <w:rPr>
            <w:rStyle w:val="Hyperlink"/>
            <w:rFonts w:ascii="Humnst777 BT" w:hAnsi="Humnst777 BT"/>
            <w:sz w:val="22"/>
            <w:szCs w:val="22"/>
          </w:rPr>
          <w:t>Level 6 Generic Assessment Criteria for Under</w:t>
        </w:r>
        <w:r w:rsidR="00C127AF" w:rsidRPr="006B31D4">
          <w:rPr>
            <w:rStyle w:val="Hyperlink"/>
            <w:rFonts w:ascii="Humnst777 BT" w:hAnsi="Humnst777 BT"/>
            <w:sz w:val="22"/>
            <w:szCs w:val="22"/>
          </w:rPr>
          <w:t>g</w:t>
        </w:r>
        <w:r w:rsidR="00C127AF" w:rsidRPr="006B31D4">
          <w:rPr>
            <w:rStyle w:val="Hyperlink"/>
            <w:rFonts w:ascii="Humnst777 BT" w:hAnsi="Humnst777 BT"/>
            <w:sz w:val="22"/>
            <w:szCs w:val="22"/>
          </w:rPr>
          <w:t>raduate Programmes</w:t>
        </w:r>
      </w:hyperlink>
    </w:p>
    <w:p w:rsidR="00442922" w:rsidRPr="006B31D4" w:rsidRDefault="006B31D4" w:rsidP="00D3169A">
      <w:pPr>
        <w:tabs>
          <w:tab w:val="left" w:pos="3510"/>
          <w:tab w:val="left" w:pos="5778"/>
        </w:tabs>
        <w:rPr>
          <w:rStyle w:val="Hyperlink"/>
          <w:rFonts w:ascii="Humnst777 BT" w:hAnsi="Humnst777 BT"/>
        </w:rPr>
      </w:pPr>
      <w:r>
        <w:rPr>
          <w:rFonts w:ascii="Humnst777 BT" w:hAnsi="Humnst777 BT"/>
        </w:rPr>
        <w:fldChar w:fldCharType="begin"/>
      </w:r>
      <w:r>
        <w:rPr>
          <w:rFonts w:ascii="Humnst777 BT" w:hAnsi="Humnst777 BT"/>
        </w:rPr>
        <w:instrText xml:space="preserve"> HYPERLINK "http://www.canterbury.ac.uk/quality-and-standards-office/docs/placement-policy-and-guidance-2013-14.docx" </w:instrText>
      </w:r>
      <w:r>
        <w:rPr>
          <w:rFonts w:ascii="Humnst777 BT" w:hAnsi="Humnst777 BT"/>
        </w:rPr>
      </w:r>
      <w:r>
        <w:rPr>
          <w:rFonts w:ascii="Humnst777 BT" w:hAnsi="Humnst777 BT"/>
        </w:rPr>
        <w:fldChar w:fldCharType="separate"/>
      </w:r>
      <w:r w:rsidR="00442922" w:rsidRPr="006B31D4">
        <w:rPr>
          <w:rStyle w:val="Hyperlink"/>
          <w:rFonts w:ascii="Humnst777 BT" w:hAnsi="Humnst777 BT"/>
        </w:rPr>
        <w:t>Placement Policy and Guidan</w:t>
      </w:r>
      <w:r w:rsidR="00442922" w:rsidRPr="006B31D4">
        <w:rPr>
          <w:rStyle w:val="Hyperlink"/>
          <w:rFonts w:ascii="Humnst777 BT" w:hAnsi="Humnst777 BT"/>
        </w:rPr>
        <w:t>c</w:t>
      </w:r>
      <w:r w:rsidR="00442922" w:rsidRPr="006B31D4">
        <w:rPr>
          <w:rStyle w:val="Hyperlink"/>
          <w:rFonts w:ascii="Humnst777 BT" w:hAnsi="Humnst777 BT"/>
        </w:rPr>
        <w:t>e</w:t>
      </w:r>
    </w:p>
    <w:p w:rsidR="009A5FA2" w:rsidRPr="001C1F24" w:rsidRDefault="006B31D4" w:rsidP="00D3169A">
      <w:pPr>
        <w:tabs>
          <w:tab w:val="left" w:pos="3510"/>
          <w:tab w:val="left" w:pos="5778"/>
        </w:tabs>
        <w:rPr>
          <w:rStyle w:val="Hyperlink"/>
          <w:rFonts w:ascii="Humnst777 BT" w:hAnsi="Humnst777 BT"/>
        </w:rPr>
      </w:pPr>
      <w:r>
        <w:rPr>
          <w:rFonts w:ascii="Humnst777 BT" w:hAnsi="Humnst777 BT"/>
        </w:rPr>
        <w:fldChar w:fldCharType="end"/>
      </w:r>
      <w:r w:rsidR="00E216E8" w:rsidRPr="001C1F24">
        <w:rPr>
          <w:rFonts w:ascii="Humnst777 BT" w:hAnsi="Humnst777 BT"/>
        </w:rPr>
        <w:fldChar w:fldCharType="begin"/>
      </w:r>
      <w:r>
        <w:rPr>
          <w:rFonts w:ascii="Humnst777 BT" w:hAnsi="Humnst777 BT"/>
        </w:rPr>
        <w:instrText>HYPERLINK "http://www.canterbury.ac.uk/library"</w:instrText>
      </w:r>
      <w:r w:rsidRPr="001C1F24">
        <w:rPr>
          <w:rFonts w:ascii="Humnst777 BT" w:hAnsi="Humnst777 BT"/>
        </w:rPr>
      </w:r>
      <w:r w:rsidR="00E216E8" w:rsidRPr="001C1F24">
        <w:rPr>
          <w:rFonts w:ascii="Humnst777 BT" w:hAnsi="Humnst777 BT"/>
        </w:rPr>
        <w:fldChar w:fldCharType="separate"/>
      </w:r>
      <w:r w:rsidR="009A5FA2" w:rsidRPr="001C1F24">
        <w:rPr>
          <w:rStyle w:val="Hyperlink"/>
          <w:rFonts w:ascii="Humnst777 BT" w:hAnsi="Humnst777 BT"/>
        </w:rPr>
        <w:t>Library web</w:t>
      </w:r>
      <w:r w:rsidR="009A5FA2" w:rsidRPr="001C1F24">
        <w:rPr>
          <w:rStyle w:val="Hyperlink"/>
          <w:rFonts w:ascii="Humnst777 BT" w:hAnsi="Humnst777 BT"/>
        </w:rPr>
        <w:t>s</w:t>
      </w:r>
      <w:r w:rsidR="009A5FA2" w:rsidRPr="001C1F24">
        <w:rPr>
          <w:rStyle w:val="Hyperlink"/>
          <w:rFonts w:ascii="Humnst777 BT" w:hAnsi="Humnst777 BT"/>
        </w:rPr>
        <w:t>ite</w:t>
      </w:r>
    </w:p>
    <w:p w:rsidR="006B31D4" w:rsidRDefault="00E216E8" w:rsidP="00D3169A">
      <w:pPr>
        <w:tabs>
          <w:tab w:val="left" w:pos="3510"/>
          <w:tab w:val="left" w:pos="5778"/>
        </w:tabs>
        <w:rPr>
          <w:rFonts w:ascii="Humnst777 BT" w:hAnsi="Humnst777 BT"/>
        </w:rPr>
      </w:pPr>
      <w:r w:rsidRPr="001C1F24">
        <w:rPr>
          <w:rFonts w:ascii="Humnst777 BT" w:hAnsi="Humnst777 BT"/>
        </w:rPr>
        <w:lastRenderedPageBreak/>
        <w:fldChar w:fldCharType="end"/>
      </w:r>
    </w:p>
    <w:p w:rsidR="006B2301" w:rsidRPr="001C1F24" w:rsidRDefault="006B2301" w:rsidP="00D3169A">
      <w:pPr>
        <w:tabs>
          <w:tab w:val="left" w:pos="3510"/>
          <w:tab w:val="left" w:pos="5778"/>
        </w:tabs>
        <w:rPr>
          <w:rFonts w:ascii="Humnst777 BT" w:hAnsi="Humnst777 BT"/>
          <w:highlight w:val="yellow"/>
        </w:rPr>
      </w:pPr>
      <w:r w:rsidRPr="001C1F24">
        <w:rPr>
          <w:rFonts w:ascii="Humnst777 BT" w:hAnsi="Humnst777 BT"/>
          <w:highlight w:val="yellow"/>
        </w:rPr>
        <w:t xml:space="preserve"> </w:t>
      </w:r>
    </w:p>
    <w:p w:rsidR="00D3169A" w:rsidRPr="001C1F24" w:rsidRDefault="00D3169A" w:rsidP="00C14B58">
      <w:pPr>
        <w:pStyle w:val="PlainText"/>
        <w:tabs>
          <w:tab w:val="left" w:pos="3510"/>
          <w:tab w:val="left" w:pos="5778"/>
        </w:tabs>
        <w:rPr>
          <w:rFonts w:ascii="Humnst777 BT" w:hAnsi="Humnst777 BT"/>
          <w:b/>
          <w:sz w:val="22"/>
          <w:szCs w:val="22"/>
        </w:rPr>
      </w:pPr>
      <w:r w:rsidRPr="001C1F24">
        <w:rPr>
          <w:rFonts w:ascii="Humnst777 BT" w:hAnsi="Humnst777 BT"/>
          <w:b/>
          <w:sz w:val="22"/>
          <w:szCs w:val="22"/>
        </w:rPr>
        <w:t>Policies and resources related to staff development</w:t>
      </w:r>
    </w:p>
    <w:p w:rsidR="008D50FA" w:rsidRPr="006B31D4" w:rsidRDefault="006B31D4" w:rsidP="00D3169A">
      <w:pPr>
        <w:tabs>
          <w:tab w:val="left" w:pos="3510"/>
          <w:tab w:val="left" w:pos="5778"/>
        </w:tabs>
        <w:rPr>
          <w:rStyle w:val="Hyperlink"/>
          <w:rFonts w:ascii="Humnst777 BT" w:hAnsi="Humnst777 BT"/>
        </w:rPr>
      </w:pPr>
      <w:r>
        <w:rPr>
          <w:rFonts w:ascii="Humnst777 BT" w:hAnsi="Humnst777 BT"/>
        </w:rPr>
        <w:fldChar w:fldCharType="begin"/>
      </w:r>
      <w:r>
        <w:rPr>
          <w:rFonts w:ascii="Humnst777 BT" w:hAnsi="Humnst777 BT"/>
        </w:rPr>
        <w:instrText xml:space="preserve"> HYPERLINK "http://www.canterbury.ac.uk/learning-and-teaching-enhancement/academic-professional-development/peer-observation-and-review.aspx" </w:instrText>
      </w:r>
      <w:r>
        <w:rPr>
          <w:rFonts w:ascii="Humnst777 BT" w:hAnsi="Humnst777 BT"/>
        </w:rPr>
      </w:r>
      <w:r>
        <w:rPr>
          <w:rFonts w:ascii="Humnst777 BT" w:hAnsi="Humnst777 BT"/>
        </w:rPr>
        <w:fldChar w:fldCharType="separate"/>
      </w:r>
      <w:r w:rsidR="008D50FA" w:rsidRPr="006B31D4">
        <w:rPr>
          <w:rStyle w:val="Hyperlink"/>
          <w:rFonts w:ascii="Humnst777 BT" w:hAnsi="Humnst777 BT"/>
        </w:rPr>
        <w:t>Peer Ob</w:t>
      </w:r>
      <w:r w:rsidR="006B2301" w:rsidRPr="006B31D4">
        <w:rPr>
          <w:rStyle w:val="Hyperlink"/>
          <w:rFonts w:ascii="Humnst777 BT" w:hAnsi="Humnst777 BT"/>
        </w:rPr>
        <w:t>servation and Re</w:t>
      </w:r>
      <w:r w:rsidR="006B2301" w:rsidRPr="006B31D4">
        <w:rPr>
          <w:rStyle w:val="Hyperlink"/>
          <w:rFonts w:ascii="Humnst777 BT" w:hAnsi="Humnst777 BT"/>
        </w:rPr>
        <w:t>v</w:t>
      </w:r>
      <w:r w:rsidR="006B2301" w:rsidRPr="006B31D4">
        <w:rPr>
          <w:rStyle w:val="Hyperlink"/>
          <w:rFonts w:ascii="Humnst777 BT" w:hAnsi="Humnst777 BT"/>
        </w:rPr>
        <w:t>iew</w:t>
      </w:r>
    </w:p>
    <w:p w:rsidR="00D3169A" w:rsidRPr="006B31D4" w:rsidRDefault="006B31D4" w:rsidP="00D3169A">
      <w:pPr>
        <w:tabs>
          <w:tab w:val="left" w:pos="3510"/>
          <w:tab w:val="left" w:pos="5778"/>
        </w:tabs>
        <w:rPr>
          <w:rStyle w:val="Hyperlink"/>
          <w:rFonts w:ascii="Humnst777 BT" w:hAnsi="Humnst777 BT"/>
        </w:rPr>
      </w:pPr>
      <w:r>
        <w:rPr>
          <w:rFonts w:ascii="Humnst777 BT" w:hAnsi="Humnst777 BT"/>
        </w:rPr>
        <w:fldChar w:fldCharType="end"/>
      </w:r>
      <w:r>
        <w:rPr>
          <w:rFonts w:ascii="Humnst777 BT" w:hAnsi="Humnst777 BT"/>
        </w:rPr>
        <w:fldChar w:fldCharType="begin"/>
      </w:r>
      <w:r>
        <w:rPr>
          <w:rFonts w:ascii="Humnst777 BT" w:hAnsi="Humnst777 BT"/>
        </w:rPr>
        <w:instrText xml:space="preserve"> HYPERLINK "http://www.canterbury.ac.uk/learning-and-teaching-enhancement/academic-professional-development/academic-professional-development.aspx" </w:instrText>
      </w:r>
      <w:r>
        <w:rPr>
          <w:rFonts w:ascii="Humnst777 BT" w:hAnsi="Humnst777 BT"/>
        </w:rPr>
      </w:r>
      <w:r>
        <w:rPr>
          <w:rFonts w:ascii="Humnst777 BT" w:hAnsi="Humnst777 BT"/>
        </w:rPr>
        <w:fldChar w:fldCharType="separate"/>
      </w:r>
      <w:r w:rsidR="003E25FC" w:rsidRPr="006B31D4">
        <w:rPr>
          <w:rStyle w:val="Hyperlink"/>
          <w:rFonts w:ascii="Humnst777 BT" w:hAnsi="Humnst777 BT"/>
        </w:rPr>
        <w:t>Academic Professional D</w:t>
      </w:r>
      <w:r w:rsidR="003E25FC" w:rsidRPr="006B31D4">
        <w:rPr>
          <w:rStyle w:val="Hyperlink"/>
          <w:rFonts w:ascii="Humnst777 BT" w:hAnsi="Humnst777 BT"/>
        </w:rPr>
        <w:t>e</w:t>
      </w:r>
      <w:r w:rsidR="003E25FC" w:rsidRPr="006B31D4">
        <w:rPr>
          <w:rStyle w:val="Hyperlink"/>
          <w:rFonts w:ascii="Humnst777 BT" w:hAnsi="Humnst777 BT"/>
        </w:rPr>
        <w:t>velopment</w:t>
      </w:r>
    </w:p>
    <w:p w:rsidR="00D3169A" w:rsidRPr="001C1F24" w:rsidRDefault="006B31D4" w:rsidP="00BC3398">
      <w:pPr>
        <w:pStyle w:val="PlainText"/>
        <w:rPr>
          <w:rFonts w:ascii="Humnst777 BT" w:hAnsi="Humnst777 BT"/>
          <w:sz w:val="22"/>
          <w:szCs w:val="22"/>
          <w:highlight w:val="yellow"/>
        </w:rPr>
      </w:pPr>
      <w:r>
        <w:rPr>
          <w:rFonts w:ascii="Humnst777 BT" w:hAnsi="Humnst777 BT"/>
          <w:sz w:val="22"/>
          <w:szCs w:val="22"/>
        </w:rPr>
        <w:fldChar w:fldCharType="end"/>
      </w:r>
    </w:p>
    <w:p w:rsidR="00D3169A" w:rsidRPr="001C1F24" w:rsidRDefault="001D3AEC" w:rsidP="00D3169A">
      <w:pPr>
        <w:pStyle w:val="PlainText"/>
        <w:tabs>
          <w:tab w:val="left" w:pos="3510"/>
          <w:tab w:val="left" w:pos="5778"/>
        </w:tabs>
        <w:rPr>
          <w:rFonts w:ascii="Humnst777 BT" w:hAnsi="Humnst777 BT"/>
          <w:b/>
          <w:sz w:val="22"/>
          <w:szCs w:val="22"/>
        </w:rPr>
      </w:pPr>
      <w:r w:rsidRPr="001C1F24">
        <w:rPr>
          <w:rFonts w:ascii="Humnst777 BT" w:hAnsi="Humnst777 BT"/>
          <w:b/>
          <w:sz w:val="22"/>
          <w:szCs w:val="22"/>
        </w:rPr>
        <w:t>P</w:t>
      </w:r>
      <w:r w:rsidR="00D3169A" w:rsidRPr="001C1F24">
        <w:rPr>
          <w:rFonts w:ascii="Humnst777 BT" w:hAnsi="Humnst777 BT"/>
          <w:b/>
          <w:sz w:val="22"/>
          <w:szCs w:val="22"/>
        </w:rPr>
        <w:t xml:space="preserve">olicies </w:t>
      </w:r>
      <w:r w:rsidR="008D50FA" w:rsidRPr="001C1F24">
        <w:rPr>
          <w:rFonts w:ascii="Humnst777 BT" w:hAnsi="Humnst777 BT"/>
          <w:b/>
          <w:sz w:val="22"/>
          <w:szCs w:val="22"/>
        </w:rPr>
        <w:t xml:space="preserve">and resources </w:t>
      </w:r>
      <w:r w:rsidR="00D3169A" w:rsidRPr="001C1F24">
        <w:rPr>
          <w:rFonts w:ascii="Humnst777 BT" w:hAnsi="Humnst777 BT"/>
          <w:b/>
          <w:sz w:val="22"/>
          <w:szCs w:val="22"/>
        </w:rPr>
        <w:t>related to equal</w:t>
      </w:r>
      <w:r w:rsidR="00125E76" w:rsidRPr="001C1F24">
        <w:rPr>
          <w:rFonts w:ascii="Humnst777 BT" w:hAnsi="Humnst777 BT"/>
          <w:b/>
          <w:sz w:val="22"/>
          <w:szCs w:val="22"/>
        </w:rPr>
        <w:t>ity and diversity, careers</w:t>
      </w:r>
      <w:r w:rsidR="00D3169A" w:rsidRPr="001C1F24">
        <w:rPr>
          <w:rFonts w:ascii="Humnst777 BT" w:hAnsi="Humnst777 BT"/>
          <w:b/>
          <w:sz w:val="22"/>
          <w:szCs w:val="22"/>
        </w:rPr>
        <w:t xml:space="preserve"> and student support</w:t>
      </w:r>
    </w:p>
    <w:p w:rsidR="00D3169A" w:rsidRPr="00033A34" w:rsidRDefault="00033A34" w:rsidP="00D3169A">
      <w:pPr>
        <w:pStyle w:val="PlainText"/>
        <w:tabs>
          <w:tab w:val="left" w:pos="3510"/>
          <w:tab w:val="left" w:pos="5778"/>
        </w:tabs>
        <w:rPr>
          <w:rStyle w:val="Hyperlink"/>
          <w:rFonts w:ascii="Humnst777 BT" w:hAnsi="Humnst777 BT"/>
          <w:sz w:val="22"/>
          <w:szCs w:val="22"/>
        </w:rPr>
      </w:pPr>
      <w:r>
        <w:rPr>
          <w:rFonts w:ascii="Humnst777 BT" w:hAnsi="Humnst777 BT"/>
          <w:sz w:val="22"/>
          <w:szCs w:val="22"/>
        </w:rPr>
        <w:fldChar w:fldCharType="begin"/>
      </w:r>
      <w:r>
        <w:rPr>
          <w:rFonts w:ascii="Humnst777 BT" w:hAnsi="Humnst777 BT"/>
          <w:sz w:val="22"/>
          <w:szCs w:val="22"/>
        </w:rPr>
        <w:instrText xml:space="preserve"> HYPERLINK "http://www.canterbury.ac.uk/equality-and-diversity/policies-procedures-and-guidelines.aspx" </w:instrText>
      </w:r>
      <w:r>
        <w:rPr>
          <w:rFonts w:ascii="Humnst777 BT" w:hAnsi="Humnst777 BT"/>
          <w:sz w:val="22"/>
          <w:szCs w:val="22"/>
        </w:rPr>
      </w:r>
      <w:r>
        <w:rPr>
          <w:rFonts w:ascii="Humnst777 BT" w:hAnsi="Humnst777 BT"/>
          <w:sz w:val="22"/>
          <w:szCs w:val="22"/>
        </w:rPr>
        <w:fldChar w:fldCharType="separate"/>
      </w:r>
      <w:r w:rsidR="00D3169A" w:rsidRPr="00033A34">
        <w:rPr>
          <w:rStyle w:val="Hyperlink"/>
          <w:rFonts w:ascii="Humnst777 BT" w:hAnsi="Humnst777 BT"/>
          <w:sz w:val="22"/>
          <w:szCs w:val="22"/>
        </w:rPr>
        <w:t>Equal</w:t>
      </w:r>
      <w:r w:rsidR="003E25FC" w:rsidRPr="00033A34">
        <w:rPr>
          <w:rStyle w:val="Hyperlink"/>
          <w:rFonts w:ascii="Humnst777 BT" w:hAnsi="Humnst777 BT"/>
          <w:sz w:val="22"/>
          <w:szCs w:val="22"/>
        </w:rPr>
        <w:t>ity and Diversity</w:t>
      </w:r>
      <w:r w:rsidR="00D3169A" w:rsidRPr="00033A34">
        <w:rPr>
          <w:rStyle w:val="Hyperlink"/>
          <w:rFonts w:ascii="Humnst777 BT" w:hAnsi="Humnst777 BT"/>
          <w:sz w:val="22"/>
          <w:szCs w:val="22"/>
        </w:rPr>
        <w:t xml:space="preserve"> Policy</w:t>
      </w:r>
    </w:p>
    <w:p w:rsidR="00E26C3B" w:rsidRPr="00033A34" w:rsidRDefault="00033A34" w:rsidP="00D3169A">
      <w:pPr>
        <w:pStyle w:val="PlainText"/>
        <w:tabs>
          <w:tab w:val="left" w:pos="3510"/>
          <w:tab w:val="left" w:pos="5778"/>
        </w:tabs>
        <w:rPr>
          <w:rStyle w:val="Hyperlink"/>
          <w:rFonts w:ascii="Humnst777 BT" w:hAnsi="Humnst777 BT"/>
          <w:sz w:val="22"/>
          <w:szCs w:val="22"/>
        </w:rPr>
      </w:pPr>
      <w:r>
        <w:rPr>
          <w:rFonts w:ascii="Humnst777 BT" w:hAnsi="Humnst777 BT"/>
          <w:sz w:val="22"/>
          <w:szCs w:val="22"/>
        </w:rPr>
        <w:fldChar w:fldCharType="end"/>
      </w:r>
      <w:r>
        <w:rPr>
          <w:rFonts w:ascii="Humnst777 BT" w:hAnsi="Humnst777 BT"/>
          <w:sz w:val="22"/>
          <w:szCs w:val="22"/>
        </w:rPr>
        <w:fldChar w:fldCharType="begin"/>
      </w:r>
      <w:r>
        <w:rPr>
          <w:rFonts w:ascii="Humnst777 BT" w:hAnsi="Humnst777 BT"/>
          <w:sz w:val="22"/>
          <w:szCs w:val="22"/>
        </w:rPr>
        <w:instrText xml:space="preserve"> HYPERLINK "http://www.canterbury.ac.uk/equality-and-diversity/equality-and-diversity.aspx" </w:instrText>
      </w:r>
      <w:r>
        <w:rPr>
          <w:rFonts w:ascii="Humnst777 BT" w:hAnsi="Humnst777 BT"/>
          <w:sz w:val="22"/>
          <w:szCs w:val="22"/>
        </w:rPr>
      </w:r>
      <w:r>
        <w:rPr>
          <w:rFonts w:ascii="Humnst777 BT" w:hAnsi="Humnst777 BT"/>
          <w:sz w:val="22"/>
          <w:szCs w:val="22"/>
        </w:rPr>
        <w:fldChar w:fldCharType="separate"/>
      </w:r>
      <w:r w:rsidR="00120327" w:rsidRPr="00033A34">
        <w:rPr>
          <w:rStyle w:val="Hyperlink"/>
          <w:rFonts w:ascii="Humnst777 BT" w:hAnsi="Humnst777 BT"/>
          <w:sz w:val="22"/>
          <w:szCs w:val="22"/>
        </w:rPr>
        <w:t>Equality and Diversi</w:t>
      </w:r>
      <w:r w:rsidR="00120327" w:rsidRPr="00033A34">
        <w:rPr>
          <w:rStyle w:val="Hyperlink"/>
          <w:rFonts w:ascii="Humnst777 BT" w:hAnsi="Humnst777 BT"/>
          <w:sz w:val="22"/>
          <w:szCs w:val="22"/>
        </w:rPr>
        <w:t>t</w:t>
      </w:r>
      <w:r w:rsidR="00120327" w:rsidRPr="00033A34">
        <w:rPr>
          <w:rStyle w:val="Hyperlink"/>
          <w:rFonts w:ascii="Humnst777 BT" w:hAnsi="Humnst777 BT"/>
          <w:sz w:val="22"/>
          <w:szCs w:val="22"/>
        </w:rPr>
        <w:t>y Information</w:t>
      </w:r>
    </w:p>
    <w:p w:rsidR="0070559F" w:rsidRPr="00033A34" w:rsidRDefault="00033A34" w:rsidP="00D3169A">
      <w:pPr>
        <w:pStyle w:val="PlainText"/>
        <w:tabs>
          <w:tab w:val="left" w:pos="3510"/>
          <w:tab w:val="left" w:pos="5778"/>
        </w:tabs>
        <w:rPr>
          <w:rStyle w:val="Hyperlink"/>
          <w:rFonts w:ascii="Humnst777 BT" w:hAnsi="Humnst777 BT"/>
          <w:sz w:val="22"/>
          <w:szCs w:val="22"/>
        </w:rPr>
      </w:pPr>
      <w:r>
        <w:rPr>
          <w:rFonts w:ascii="Humnst777 BT" w:hAnsi="Humnst777 BT"/>
          <w:sz w:val="22"/>
          <w:szCs w:val="22"/>
        </w:rPr>
        <w:fldChar w:fldCharType="end"/>
      </w:r>
      <w:r>
        <w:rPr>
          <w:rFonts w:ascii="Humnst777 BT" w:hAnsi="Humnst777 BT"/>
          <w:sz w:val="22"/>
          <w:szCs w:val="22"/>
        </w:rPr>
        <w:fldChar w:fldCharType="begin"/>
      </w:r>
      <w:r>
        <w:rPr>
          <w:rFonts w:ascii="Humnst777 BT" w:hAnsi="Humnst777 BT"/>
          <w:sz w:val="22"/>
          <w:szCs w:val="22"/>
        </w:rPr>
        <w:instrText xml:space="preserve"> HYPERLINK "http://www.canterbury.ac.uk/learning-and-teaching-enhancement/what-we-do/policies-and-resources/personal-academic-tutoring.aspx" </w:instrText>
      </w:r>
      <w:r>
        <w:rPr>
          <w:rFonts w:ascii="Humnst777 BT" w:hAnsi="Humnst777 BT"/>
          <w:sz w:val="22"/>
          <w:szCs w:val="22"/>
        </w:rPr>
      </w:r>
      <w:r>
        <w:rPr>
          <w:rFonts w:ascii="Humnst777 BT" w:hAnsi="Humnst777 BT"/>
          <w:sz w:val="22"/>
          <w:szCs w:val="22"/>
        </w:rPr>
        <w:fldChar w:fldCharType="separate"/>
      </w:r>
      <w:r w:rsidR="0070559F" w:rsidRPr="00033A34">
        <w:rPr>
          <w:rStyle w:val="Hyperlink"/>
          <w:rFonts w:ascii="Humnst777 BT" w:hAnsi="Humnst777 BT"/>
          <w:sz w:val="22"/>
          <w:szCs w:val="22"/>
        </w:rPr>
        <w:t>University webpages on Pers</w:t>
      </w:r>
      <w:r w:rsidR="0070559F" w:rsidRPr="00033A34">
        <w:rPr>
          <w:rStyle w:val="Hyperlink"/>
          <w:rFonts w:ascii="Humnst777 BT" w:hAnsi="Humnst777 BT"/>
          <w:sz w:val="22"/>
          <w:szCs w:val="22"/>
        </w:rPr>
        <w:t>o</w:t>
      </w:r>
      <w:r w:rsidR="0070559F" w:rsidRPr="00033A34">
        <w:rPr>
          <w:rStyle w:val="Hyperlink"/>
          <w:rFonts w:ascii="Humnst777 BT" w:hAnsi="Humnst777 BT"/>
          <w:sz w:val="22"/>
          <w:szCs w:val="22"/>
        </w:rPr>
        <w:t>nal</w:t>
      </w:r>
      <w:r w:rsidRPr="00033A34">
        <w:rPr>
          <w:rStyle w:val="Hyperlink"/>
          <w:rFonts w:ascii="Humnst777 BT" w:hAnsi="Humnst777 BT"/>
          <w:sz w:val="22"/>
          <w:szCs w:val="22"/>
        </w:rPr>
        <w:t xml:space="preserve"> Academic</w:t>
      </w:r>
      <w:r w:rsidR="0070559F" w:rsidRPr="00033A34">
        <w:rPr>
          <w:rStyle w:val="Hyperlink"/>
          <w:rFonts w:ascii="Humnst777 BT" w:hAnsi="Humnst777 BT"/>
          <w:sz w:val="22"/>
          <w:szCs w:val="22"/>
        </w:rPr>
        <w:t xml:space="preserve"> Tutoring</w:t>
      </w:r>
    </w:p>
    <w:p w:rsidR="00125E76" w:rsidRPr="00033A34" w:rsidRDefault="00033A34" w:rsidP="00D3169A">
      <w:pPr>
        <w:pStyle w:val="PlainText"/>
        <w:tabs>
          <w:tab w:val="left" w:pos="3510"/>
          <w:tab w:val="left" w:pos="5778"/>
        </w:tabs>
        <w:rPr>
          <w:rStyle w:val="Hyperlink"/>
          <w:rFonts w:ascii="Humnst777 BT" w:hAnsi="Humnst777 BT"/>
          <w:sz w:val="22"/>
          <w:szCs w:val="22"/>
        </w:rPr>
      </w:pPr>
      <w:r>
        <w:rPr>
          <w:rFonts w:ascii="Humnst777 BT" w:hAnsi="Humnst777 BT"/>
          <w:sz w:val="22"/>
          <w:szCs w:val="22"/>
        </w:rPr>
        <w:fldChar w:fldCharType="end"/>
      </w:r>
      <w:r>
        <w:rPr>
          <w:rFonts w:ascii="Humnst777 BT" w:hAnsi="Humnst777 BT"/>
          <w:sz w:val="22"/>
          <w:szCs w:val="22"/>
        </w:rPr>
        <w:fldChar w:fldCharType="begin"/>
      </w:r>
      <w:r>
        <w:rPr>
          <w:rFonts w:ascii="Humnst777 BT" w:hAnsi="Humnst777 BT"/>
          <w:sz w:val="22"/>
          <w:szCs w:val="22"/>
        </w:rPr>
        <w:instrText xml:space="preserve"> HYPERLINK "http://www.canterbury.ac.uk/student-support-health-and-wellbeing/student-support-health-and-wellbeing.aspx" </w:instrText>
      </w:r>
      <w:r>
        <w:rPr>
          <w:rFonts w:ascii="Humnst777 BT" w:hAnsi="Humnst777 BT"/>
          <w:sz w:val="22"/>
          <w:szCs w:val="22"/>
        </w:rPr>
      </w:r>
      <w:r>
        <w:rPr>
          <w:rFonts w:ascii="Humnst777 BT" w:hAnsi="Humnst777 BT"/>
          <w:sz w:val="22"/>
          <w:szCs w:val="22"/>
        </w:rPr>
        <w:fldChar w:fldCharType="separate"/>
      </w:r>
      <w:r w:rsidR="00125E76" w:rsidRPr="00033A34">
        <w:rPr>
          <w:rStyle w:val="Hyperlink"/>
          <w:rFonts w:ascii="Humnst777 BT" w:hAnsi="Humnst777 BT"/>
          <w:sz w:val="22"/>
          <w:szCs w:val="22"/>
        </w:rPr>
        <w:t>University webpages on Student Support, H</w:t>
      </w:r>
      <w:r w:rsidR="00125E76" w:rsidRPr="00033A34">
        <w:rPr>
          <w:rStyle w:val="Hyperlink"/>
          <w:rFonts w:ascii="Humnst777 BT" w:hAnsi="Humnst777 BT"/>
          <w:sz w:val="22"/>
          <w:szCs w:val="22"/>
        </w:rPr>
        <w:t>e</w:t>
      </w:r>
      <w:r w:rsidR="00125E76" w:rsidRPr="00033A34">
        <w:rPr>
          <w:rStyle w:val="Hyperlink"/>
          <w:rFonts w:ascii="Humnst777 BT" w:hAnsi="Humnst777 BT"/>
          <w:sz w:val="22"/>
          <w:szCs w:val="22"/>
        </w:rPr>
        <w:t>alth and Wellbeing</w:t>
      </w:r>
    </w:p>
    <w:p w:rsidR="0070559F" w:rsidRPr="001C1F24" w:rsidRDefault="00033A34" w:rsidP="0070559F">
      <w:pPr>
        <w:pStyle w:val="PlainText"/>
        <w:tabs>
          <w:tab w:val="left" w:pos="3510"/>
          <w:tab w:val="left" w:pos="5778"/>
        </w:tabs>
        <w:rPr>
          <w:rStyle w:val="Hyperlink"/>
          <w:rFonts w:ascii="Humnst777 BT" w:hAnsi="Humnst777 BT"/>
          <w:sz w:val="22"/>
          <w:szCs w:val="22"/>
        </w:rPr>
      </w:pPr>
      <w:r>
        <w:rPr>
          <w:rFonts w:ascii="Humnst777 BT" w:hAnsi="Humnst777 BT"/>
          <w:sz w:val="22"/>
          <w:szCs w:val="22"/>
        </w:rPr>
        <w:fldChar w:fldCharType="end"/>
      </w:r>
      <w:r w:rsidR="0005250A" w:rsidRPr="001C1F24">
        <w:rPr>
          <w:rFonts w:ascii="Humnst777 BT" w:hAnsi="Humnst777 BT"/>
          <w:sz w:val="22"/>
          <w:szCs w:val="22"/>
        </w:rPr>
        <w:fldChar w:fldCharType="begin"/>
      </w:r>
      <w:r>
        <w:rPr>
          <w:rFonts w:ascii="Humnst777 BT" w:hAnsi="Humnst777 BT"/>
          <w:sz w:val="22"/>
          <w:szCs w:val="22"/>
        </w:rPr>
        <w:instrText>HYPERLINK "https://www.canterbury.ac.uk/career-development/enterprise-and-employability.aspx"</w:instrText>
      </w:r>
      <w:r w:rsidRPr="001C1F24">
        <w:rPr>
          <w:rFonts w:ascii="Humnst777 BT" w:hAnsi="Humnst777 BT"/>
          <w:sz w:val="22"/>
          <w:szCs w:val="22"/>
        </w:rPr>
      </w:r>
      <w:r w:rsidR="0005250A" w:rsidRPr="001C1F24">
        <w:rPr>
          <w:rFonts w:ascii="Humnst777 BT" w:hAnsi="Humnst777 BT"/>
          <w:sz w:val="22"/>
          <w:szCs w:val="22"/>
        </w:rPr>
        <w:fldChar w:fldCharType="separate"/>
      </w:r>
      <w:r w:rsidR="001D3AEC" w:rsidRPr="001C1F24">
        <w:rPr>
          <w:rStyle w:val="Hyperlink"/>
          <w:rFonts w:ascii="Humnst777 BT" w:hAnsi="Humnst777 BT"/>
          <w:sz w:val="22"/>
          <w:szCs w:val="22"/>
        </w:rPr>
        <w:t>University w</w:t>
      </w:r>
      <w:r w:rsidR="0070559F" w:rsidRPr="001C1F24">
        <w:rPr>
          <w:rStyle w:val="Hyperlink"/>
          <w:rFonts w:ascii="Humnst777 BT" w:hAnsi="Humnst777 BT"/>
          <w:sz w:val="22"/>
          <w:szCs w:val="22"/>
        </w:rPr>
        <w:t>ebpages on Career</w:t>
      </w:r>
      <w:r w:rsidR="0070559F" w:rsidRPr="001C1F24">
        <w:rPr>
          <w:rStyle w:val="Hyperlink"/>
          <w:rFonts w:ascii="Humnst777 BT" w:hAnsi="Humnst777 BT"/>
          <w:sz w:val="22"/>
          <w:szCs w:val="22"/>
        </w:rPr>
        <w:t>s</w:t>
      </w:r>
      <w:r w:rsidR="0070559F" w:rsidRPr="001C1F24">
        <w:rPr>
          <w:rStyle w:val="Hyperlink"/>
          <w:rFonts w:ascii="Humnst777 BT" w:hAnsi="Humnst777 BT"/>
          <w:sz w:val="22"/>
          <w:szCs w:val="22"/>
        </w:rPr>
        <w:t xml:space="preserve"> </w:t>
      </w:r>
      <w:r w:rsidR="00A65E76" w:rsidRPr="001C1F24">
        <w:rPr>
          <w:rStyle w:val="Hyperlink"/>
          <w:rFonts w:ascii="Humnst777 BT" w:hAnsi="Humnst777 BT"/>
          <w:sz w:val="22"/>
          <w:szCs w:val="22"/>
        </w:rPr>
        <w:t>Development</w:t>
      </w:r>
    </w:p>
    <w:p w:rsidR="00442922" w:rsidRPr="00033A34" w:rsidRDefault="0005250A" w:rsidP="0070559F">
      <w:pPr>
        <w:pStyle w:val="PlainText"/>
        <w:tabs>
          <w:tab w:val="left" w:pos="3510"/>
          <w:tab w:val="left" w:pos="5778"/>
        </w:tabs>
        <w:rPr>
          <w:rStyle w:val="Hyperlink"/>
          <w:rFonts w:ascii="Humnst777 BT" w:hAnsi="Humnst777 BT"/>
          <w:sz w:val="22"/>
          <w:szCs w:val="22"/>
        </w:rPr>
      </w:pPr>
      <w:r w:rsidRPr="001C1F24">
        <w:rPr>
          <w:rFonts w:ascii="Humnst777 BT" w:hAnsi="Humnst777 BT"/>
          <w:sz w:val="22"/>
          <w:szCs w:val="22"/>
        </w:rPr>
        <w:fldChar w:fldCharType="end"/>
      </w:r>
      <w:r w:rsidR="00033A34">
        <w:rPr>
          <w:rFonts w:ascii="Humnst777 BT" w:hAnsi="Humnst777 BT"/>
          <w:sz w:val="22"/>
          <w:szCs w:val="22"/>
        </w:rPr>
        <w:fldChar w:fldCharType="begin"/>
      </w:r>
      <w:r w:rsidR="00033A34">
        <w:rPr>
          <w:rFonts w:ascii="Humnst777 BT" w:hAnsi="Humnst777 BT"/>
          <w:sz w:val="22"/>
          <w:szCs w:val="22"/>
        </w:rPr>
        <w:instrText xml:space="preserve"> HYPERLINK "http://www.canterbury.ac.uk/quality-and-standards-office/student-handbook.aspx" </w:instrText>
      </w:r>
      <w:r w:rsidR="00033A34">
        <w:rPr>
          <w:rFonts w:ascii="Humnst777 BT" w:hAnsi="Humnst777 BT"/>
          <w:sz w:val="22"/>
          <w:szCs w:val="22"/>
        </w:rPr>
      </w:r>
      <w:r w:rsidR="00033A34">
        <w:rPr>
          <w:rFonts w:ascii="Humnst777 BT" w:hAnsi="Humnst777 BT"/>
          <w:sz w:val="22"/>
          <w:szCs w:val="22"/>
        </w:rPr>
        <w:fldChar w:fldCharType="separate"/>
      </w:r>
      <w:r w:rsidR="00442922" w:rsidRPr="00033A34">
        <w:rPr>
          <w:rStyle w:val="Hyperlink"/>
          <w:rFonts w:ascii="Humnst777 BT" w:hAnsi="Humnst777 BT"/>
          <w:sz w:val="22"/>
          <w:szCs w:val="22"/>
        </w:rPr>
        <w:t>Student Handbook T</w:t>
      </w:r>
      <w:r w:rsidR="00442922" w:rsidRPr="00033A34">
        <w:rPr>
          <w:rStyle w:val="Hyperlink"/>
          <w:rFonts w:ascii="Humnst777 BT" w:hAnsi="Humnst777 BT"/>
          <w:sz w:val="22"/>
          <w:szCs w:val="22"/>
        </w:rPr>
        <w:t>e</w:t>
      </w:r>
      <w:r w:rsidR="00442922" w:rsidRPr="00033A34">
        <w:rPr>
          <w:rStyle w:val="Hyperlink"/>
          <w:rFonts w:ascii="Humnst777 BT" w:hAnsi="Humnst777 BT"/>
          <w:sz w:val="22"/>
          <w:szCs w:val="22"/>
        </w:rPr>
        <w:t>mplate</w:t>
      </w:r>
    </w:p>
    <w:p w:rsidR="00D3169A" w:rsidRPr="001C1F24" w:rsidRDefault="00033A34" w:rsidP="00BC3398">
      <w:pPr>
        <w:pStyle w:val="PlainText"/>
        <w:rPr>
          <w:rFonts w:ascii="Humnst777 BT" w:hAnsi="Humnst777 BT"/>
          <w:sz w:val="22"/>
          <w:szCs w:val="22"/>
          <w:highlight w:val="yellow"/>
        </w:rPr>
      </w:pPr>
      <w:r>
        <w:rPr>
          <w:rFonts w:ascii="Humnst777 BT" w:hAnsi="Humnst777 BT"/>
          <w:sz w:val="22"/>
          <w:szCs w:val="22"/>
        </w:rPr>
        <w:fldChar w:fldCharType="end"/>
      </w:r>
    </w:p>
    <w:p w:rsidR="00DE6D62" w:rsidRPr="001C1F24" w:rsidRDefault="00DE6D62" w:rsidP="00C14B58">
      <w:pPr>
        <w:pStyle w:val="PlainText"/>
        <w:tabs>
          <w:tab w:val="left" w:pos="3510"/>
          <w:tab w:val="left" w:pos="5778"/>
        </w:tabs>
        <w:rPr>
          <w:rFonts w:ascii="Humnst777 BT" w:hAnsi="Humnst777 BT"/>
          <w:b/>
          <w:sz w:val="22"/>
          <w:szCs w:val="22"/>
        </w:rPr>
      </w:pPr>
      <w:r w:rsidRPr="001C1F24">
        <w:rPr>
          <w:rFonts w:ascii="Humnst777 BT" w:hAnsi="Humnst777 BT"/>
          <w:b/>
          <w:sz w:val="22"/>
          <w:szCs w:val="22"/>
        </w:rPr>
        <w:t>Policies related to environmental sustainability</w:t>
      </w:r>
    </w:p>
    <w:p w:rsidR="00DE6D62" w:rsidRPr="00C55F12" w:rsidRDefault="00C55F12" w:rsidP="00BC3398">
      <w:pPr>
        <w:pStyle w:val="PlainText"/>
        <w:rPr>
          <w:rStyle w:val="Hyperlink"/>
          <w:rFonts w:ascii="Humnst777 BT" w:hAnsi="Humnst777 BT"/>
          <w:sz w:val="22"/>
          <w:szCs w:val="22"/>
        </w:rPr>
      </w:pPr>
      <w:r>
        <w:rPr>
          <w:rFonts w:ascii="Humnst777 BT" w:hAnsi="Humnst777 BT"/>
          <w:sz w:val="22"/>
          <w:szCs w:val="22"/>
        </w:rPr>
        <w:fldChar w:fldCharType="begin"/>
      </w:r>
      <w:r>
        <w:rPr>
          <w:rFonts w:ascii="Humnst777 BT" w:hAnsi="Humnst777 BT"/>
          <w:sz w:val="22"/>
          <w:szCs w:val="22"/>
        </w:rPr>
        <w:instrText xml:space="preserve"> HYPERLINK "https://cccu.canterbury.ac.uk/sustainability/policies-and-downloads.aspx" </w:instrText>
      </w:r>
      <w:r>
        <w:rPr>
          <w:rFonts w:ascii="Humnst777 BT" w:hAnsi="Humnst777 BT"/>
          <w:sz w:val="22"/>
          <w:szCs w:val="22"/>
        </w:rPr>
      </w:r>
      <w:r>
        <w:rPr>
          <w:rFonts w:ascii="Humnst777 BT" w:hAnsi="Humnst777 BT"/>
          <w:sz w:val="22"/>
          <w:szCs w:val="22"/>
        </w:rPr>
        <w:fldChar w:fldCharType="separate"/>
      </w:r>
      <w:r w:rsidR="00DE6D62" w:rsidRPr="00C55F12">
        <w:rPr>
          <w:rStyle w:val="Hyperlink"/>
          <w:rFonts w:ascii="Humnst777 BT" w:hAnsi="Humnst777 BT"/>
          <w:sz w:val="22"/>
          <w:szCs w:val="22"/>
        </w:rPr>
        <w:t>Sustainability P</w:t>
      </w:r>
      <w:r w:rsidR="00DE6D62" w:rsidRPr="00C55F12">
        <w:rPr>
          <w:rStyle w:val="Hyperlink"/>
          <w:rFonts w:ascii="Humnst777 BT" w:hAnsi="Humnst777 BT"/>
          <w:sz w:val="22"/>
          <w:szCs w:val="22"/>
        </w:rPr>
        <w:t>o</w:t>
      </w:r>
      <w:r w:rsidR="00DE6D62" w:rsidRPr="00C55F12">
        <w:rPr>
          <w:rStyle w:val="Hyperlink"/>
          <w:rFonts w:ascii="Humnst777 BT" w:hAnsi="Humnst777 BT"/>
          <w:sz w:val="22"/>
          <w:szCs w:val="22"/>
        </w:rPr>
        <w:t>licy</w:t>
      </w:r>
    </w:p>
    <w:p w:rsidR="00DE6D62" w:rsidRPr="001C1F24" w:rsidRDefault="00C55F12" w:rsidP="00BC3398">
      <w:pPr>
        <w:pStyle w:val="PlainText"/>
        <w:rPr>
          <w:rFonts w:ascii="Humnst777 BT" w:hAnsi="Humnst777 BT"/>
          <w:sz w:val="22"/>
          <w:szCs w:val="22"/>
          <w:highlight w:val="yellow"/>
        </w:rPr>
      </w:pPr>
      <w:r>
        <w:rPr>
          <w:rFonts w:ascii="Humnst777 BT" w:hAnsi="Humnst777 BT"/>
          <w:sz w:val="22"/>
          <w:szCs w:val="22"/>
        </w:rPr>
        <w:fldChar w:fldCharType="end"/>
      </w:r>
    </w:p>
    <w:p w:rsidR="00D3169A" w:rsidRPr="001C1F24" w:rsidRDefault="00D3169A" w:rsidP="00C14B58">
      <w:pPr>
        <w:pStyle w:val="PlainText"/>
        <w:tabs>
          <w:tab w:val="left" w:pos="3510"/>
          <w:tab w:val="left" w:pos="5778"/>
        </w:tabs>
        <w:rPr>
          <w:rFonts w:ascii="Humnst777 BT" w:hAnsi="Humnst777 BT"/>
          <w:b/>
          <w:sz w:val="22"/>
          <w:szCs w:val="22"/>
        </w:rPr>
      </w:pPr>
      <w:r w:rsidRPr="001C1F24">
        <w:rPr>
          <w:rFonts w:ascii="Humnst777 BT" w:hAnsi="Humnst777 BT"/>
          <w:b/>
          <w:sz w:val="22"/>
          <w:szCs w:val="22"/>
        </w:rPr>
        <w:t xml:space="preserve">Policies related to </w:t>
      </w:r>
      <w:r w:rsidR="00DE6D62" w:rsidRPr="001C1F24">
        <w:rPr>
          <w:rFonts w:ascii="Humnst777 BT" w:hAnsi="Humnst777 BT"/>
          <w:b/>
          <w:sz w:val="22"/>
          <w:szCs w:val="22"/>
        </w:rPr>
        <w:t>student</w:t>
      </w:r>
      <w:r w:rsidR="00C14B58" w:rsidRPr="001C1F24">
        <w:rPr>
          <w:rFonts w:ascii="Humnst777 BT" w:hAnsi="Humnst777 BT"/>
          <w:b/>
          <w:sz w:val="22"/>
          <w:szCs w:val="22"/>
        </w:rPr>
        <w:t>-</w:t>
      </w:r>
      <w:r w:rsidR="00DE6D62" w:rsidRPr="001C1F24">
        <w:rPr>
          <w:rFonts w:ascii="Humnst777 BT" w:hAnsi="Humnst777 BT"/>
          <w:b/>
          <w:sz w:val="22"/>
          <w:szCs w:val="22"/>
        </w:rPr>
        <w:t>staff</w:t>
      </w:r>
      <w:r w:rsidRPr="001C1F24">
        <w:rPr>
          <w:rFonts w:ascii="Humnst777 BT" w:hAnsi="Humnst777 BT"/>
          <w:b/>
          <w:sz w:val="22"/>
          <w:szCs w:val="22"/>
        </w:rPr>
        <w:t xml:space="preserve"> liaison</w:t>
      </w:r>
    </w:p>
    <w:p w:rsidR="000060D9" w:rsidRPr="00C55F12" w:rsidRDefault="00C55F12" w:rsidP="00BC3398">
      <w:pPr>
        <w:pStyle w:val="PlainText"/>
        <w:rPr>
          <w:rStyle w:val="Hyperlink"/>
          <w:rFonts w:ascii="Humnst777 BT" w:hAnsi="Humnst777 BT"/>
          <w:sz w:val="22"/>
          <w:szCs w:val="22"/>
        </w:rPr>
      </w:pPr>
      <w:r>
        <w:rPr>
          <w:rFonts w:ascii="Humnst777 BT" w:hAnsi="Humnst777 BT"/>
          <w:sz w:val="22"/>
          <w:szCs w:val="22"/>
        </w:rPr>
        <w:fldChar w:fldCharType="begin"/>
      </w:r>
      <w:r>
        <w:rPr>
          <w:rFonts w:ascii="Humnst777 BT" w:hAnsi="Humnst777 BT"/>
          <w:sz w:val="22"/>
          <w:szCs w:val="22"/>
        </w:rPr>
        <w:instrText xml:space="preserve"> HYPERLINK "http://www.canterbury.ac.uk/quality-and-standards-office/docs/student-staff-liaison-meetings.pdf" </w:instrText>
      </w:r>
      <w:r>
        <w:rPr>
          <w:rFonts w:ascii="Humnst777 BT" w:hAnsi="Humnst777 BT"/>
          <w:sz w:val="22"/>
          <w:szCs w:val="22"/>
        </w:rPr>
      </w:r>
      <w:r>
        <w:rPr>
          <w:rFonts w:ascii="Humnst777 BT" w:hAnsi="Humnst777 BT"/>
          <w:sz w:val="22"/>
          <w:szCs w:val="22"/>
        </w:rPr>
        <w:fldChar w:fldCharType="separate"/>
      </w:r>
      <w:r w:rsidR="00063082" w:rsidRPr="00C55F12">
        <w:rPr>
          <w:rStyle w:val="Hyperlink"/>
          <w:rFonts w:ascii="Humnst777 BT" w:hAnsi="Humnst777 BT"/>
          <w:sz w:val="22"/>
          <w:szCs w:val="22"/>
        </w:rPr>
        <w:t xml:space="preserve">Student-Staff Liaison </w:t>
      </w:r>
      <w:r w:rsidR="00567DC8" w:rsidRPr="00C55F12">
        <w:rPr>
          <w:rStyle w:val="Hyperlink"/>
          <w:rFonts w:ascii="Humnst777 BT" w:hAnsi="Humnst777 BT"/>
          <w:sz w:val="22"/>
          <w:szCs w:val="22"/>
        </w:rPr>
        <w:t>Me</w:t>
      </w:r>
      <w:r w:rsidR="00567DC8" w:rsidRPr="00C55F12">
        <w:rPr>
          <w:rStyle w:val="Hyperlink"/>
          <w:rFonts w:ascii="Humnst777 BT" w:hAnsi="Humnst777 BT"/>
          <w:sz w:val="22"/>
          <w:szCs w:val="22"/>
        </w:rPr>
        <w:t>e</w:t>
      </w:r>
      <w:r w:rsidR="00567DC8" w:rsidRPr="00C55F12">
        <w:rPr>
          <w:rStyle w:val="Hyperlink"/>
          <w:rFonts w:ascii="Humnst777 BT" w:hAnsi="Humnst777 BT"/>
          <w:sz w:val="22"/>
          <w:szCs w:val="22"/>
        </w:rPr>
        <w:t xml:space="preserve">tings </w:t>
      </w:r>
      <w:r w:rsidR="00063082" w:rsidRPr="00C55F12">
        <w:rPr>
          <w:rStyle w:val="Hyperlink"/>
          <w:rFonts w:ascii="Humnst777 BT" w:hAnsi="Humnst777 BT"/>
          <w:sz w:val="22"/>
          <w:szCs w:val="22"/>
        </w:rPr>
        <w:t>Policy</w:t>
      </w:r>
    </w:p>
    <w:p w:rsidR="000060D9" w:rsidRPr="001C1F24" w:rsidRDefault="00C55F12" w:rsidP="00C14B58">
      <w:pPr>
        <w:pStyle w:val="PlainText"/>
        <w:tabs>
          <w:tab w:val="left" w:pos="3510"/>
          <w:tab w:val="left" w:pos="5778"/>
        </w:tabs>
        <w:rPr>
          <w:rFonts w:ascii="Humnst777 BT" w:hAnsi="Humnst777 BT"/>
          <w:b/>
          <w:sz w:val="22"/>
          <w:szCs w:val="22"/>
          <w:highlight w:val="yellow"/>
        </w:rPr>
      </w:pPr>
      <w:r>
        <w:rPr>
          <w:rFonts w:ascii="Humnst777 BT" w:hAnsi="Humnst777 BT"/>
          <w:sz w:val="22"/>
          <w:szCs w:val="22"/>
        </w:rPr>
        <w:fldChar w:fldCharType="end"/>
      </w:r>
    </w:p>
    <w:p w:rsidR="00D3169A" w:rsidRPr="001C1F24" w:rsidRDefault="00D3169A" w:rsidP="00D3169A">
      <w:pPr>
        <w:pStyle w:val="PlainText"/>
        <w:tabs>
          <w:tab w:val="left" w:pos="3510"/>
          <w:tab w:val="left" w:pos="5778"/>
        </w:tabs>
        <w:rPr>
          <w:rFonts w:ascii="Humnst777 BT" w:hAnsi="Humnst777 BT"/>
          <w:b/>
          <w:sz w:val="22"/>
          <w:szCs w:val="22"/>
        </w:rPr>
      </w:pPr>
      <w:r w:rsidRPr="001C1F24">
        <w:rPr>
          <w:rFonts w:ascii="Humnst777 BT" w:hAnsi="Humnst777 BT"/>
          <w:b/>
          <w:sz w:val="22"/>
          <w:szCs w:val="22"/>
        </w:rPr>
        <w:t>Policies related to student recruitment and admissions</w:t>
      </w:r>
    </w:p>
    <w:p w:rsidR="00607543" w:rsidRPr="001C1F24" w:rsidRDefault="00751CB3" w:rsidP="00D3169A">
      <w:pPr>
        <w:pStyle w:val="PlainText"/>
        <w:tabs>
          <w:tab w:val="left" w:pos="3510"/>
          <w:tab w:val="left" w:pos="5778"/>
        </w:tabs>
        <w:rPr>
          <w:rFonts w:ascii="Humnst777 BT" w:hAnsi="Humnst777 BT"/>
          <w:sz w:val="22"/>
          <w:szCs w:val="22"/>
        </w:rPr>
      </w:pPr>
      <w:r w:rsidRPr="001C1F24">
        <w:rPr>
          <w:rFonts w:ascii="Humnst777 BT" w:hAnsi="Humnst777 BT"/>
          <w:sz w:val="22"/>
          <w:szCs w:val="22"/>
        </w:rPr>
        <w:t>*</w:t>
      </w:r>
      <w:hyperlink r:id="rId35" w:history="1">
        <w:r w:rsidRPr="001C1F24">
          <w:rPr>
            <w:rStyle w:val="Hyperlink"/>
            <w:rFonts w:ascii="Humnst777 BT" w:hAnsi="Humnst777 BT"/>
            <w:sz w:val="22"/>
            <w:szCs w:val="22"/>
          </w:rPr>
          <w:t>Undergraduate Entry Req</w:t>
        </w:r>
        <w:r w:rsidRPr="001C1F24">
          <w:rPr>
            <w:rStyle w:val="Hyperlink"/>
            <w:rFonts w:ascii="Humnst777 BT" w:hAnsi="Humnst777 BT"/>
            <w:sz w:val="22"/>
            <w:szCs w:val="22"/>
          </w:rPr>
          <w:t>u</w:t>
        </w:r>
        <w:r w:rsidRPr="001C1F24">
          <w:rPr>
            <w:rStyle w:val="Hyperlink"/>
            <w:rFonts w:ascii="Humnst777 BT" w:hAnsi="Humnst777 BT"/>
            <w:sz w:val="22"/>
            <w:szCs w:val="22"/>
          </w:rPr>
          <w:t>irements</w:t>
        </w:r>
      </w:hyperlink>
    </w:p>
    <w:p w:rsidR="002142A6" w:rsidRPr="001C1F24" w:rsidRDefault="00751CB3">
      <w:pPr>
        <w:rPr>
          <w:rFonts w:ascii="Humnst777 BT" w:eastAsia="Calibri" w:hAnsi="Humnst777 BT" w:cs="Times New Roman"/>
        </w:rPr>
      </w:pPr>
      <w:r w:rsidRPr="001C1F24">
        <w:rPr>
          <w:rFonts w:ascii="Humnst777 BT" w:hAnsi="Humnst777 BT"/>
          <w:b/>
          <w:bCs/>
          <w:color w:val="000080"/>
        </w:rPr>
        <w:t>*</w:t>
      </w:r>
      <w:hyperlink r:id="rId36" w:history="1">
        <w:r w:rsidR="00DE6D62" w:rsidRPr="001C1F24">
          <w:rPr>
            <w:rStyle w:val="Hyperlink"/>
            <w:rFonts w:ascii="Humnst777 BT" w:hAnsi="Humnst777 BT"/>
            <w:bCs/>
          </w:rPr>
          <w:t>Postgraduate entry r</w:t>
        </w:r>
        <w:r w:rsidRPr="001C1F24">
          <w:rPr>
            <w:rStyle w:val="Hyperlink"/>
            <w:rFonts w:ascii="Humnst777 BT" w:hAnsi="Humnst777 BT"/>
            <w:bCs/>
          </w:rPr>
          <w:t>equir</w:t>
        </w:r>
        <w:r w:rsidR="005E549E" w:rsidRPr="001C1F24">
          <w:rPr>
            <w:rStyle w:val="Hyperlink"/>
            <w:rFonts w:ascii="Humnst777 BT" w:hAnsi="Humnst777 BT"/>
            <w:bCs/>
          </w:rPr>
          <w:t>e</w:t>
        </w:r>
        <w:r w:rsidRPr="001C1F24">
          <w:rPr>
            <w:rStyle w:val="Hyperlink"/>
            <w:rFonts w:ascii="Humnst777 BT" w:hAnsi="Humnst777 BT"/>
            <w:bCs/>
          </w:rPr>
          <w:t>m</w:t>
        </w:r>
        <w:r w:rsidRPr="001C1F24">
          <w:rPr>
            <w:rStyle w:val="Hyperlink"/>
            <w:rFonts w:ascii="Humnst777 BT" w:hAnsi="Humnst777 BT"/>
            <w:bCs/>
          </w:rPr>
          <w:t>e</w:t>
        </w:r>
        <w:r w:rsidRPr="001C1F24">
          <w:rPr>
            <w:rStyle w:val="Hyperlink"/>
            <w:rFonts w:ascii="Humnst777 BT" w:hAnsi="Humnst777 BT"/>
            <w:bCs/>
          </w:rPr>
          <w:t>nts</w:t>
        </w:r>
      </w:hyperlink>
      <w:bookmarkStart w:id="1" w:name="_GoBack"/>
      <w:bookmarkEnd w:id="1"/>
      <w:r w:rsidRPr="001C1F24">
        <w:rPr>
          <w:rFonts w:ascii="Humnst777 BT" w:hAnsi="Humnst777 BT"/>
          <w:bCs/>
        </w:rPr>
        <w:t xml:space="preserve"> are </w:t>
      </w:r>
      <w:r w:rsidR="00442922" w:rsidRPr="001C1F24">
        <w:rPr>
          <w:rFonts w:ascii="Humnst777 BT" w:hAnsi="Humnst777 BT"/>
          <w:bCs/>
        </w:rPr>
        <w:t>specified as part of information provided for individual programmes</w:t>
      </w:r>
    </w:p>
    <w:p w:rsidR="009E3488" w:rsidRPr="001C1F24" w:rsidRDefault="009E3488" w:rsidP="00D3169A">
      <w:pPr>
        <w:pStyle w:val="PlainText"/>
        <w:tabs>
          <w:tab w:val="left" w:pos="3510"/>
          <w:tab w:val="left" w:pos="5778"/>
        </w:tabs>
        <w:rPr>
          <w:rFonts w:ascii="Humnst777 BT" w:hAnsi="Humnst777 BT"/>
          <w:sz w:val="22"/>
          <w:szCs w:val="22"/>
        </w:rPr>
      </w:pPr>
    </w:p>
    <w:p w:rsidR="00415619" w:rsidRPr="00120327" w:rsidRDefault="00415619" w:rsidP="007B2777">
      <w:pPr>
        <w:pStyle w:val="PlainText"/>
        <w:ind w:left="360"/>
        <w:rPr>
          <w:rFonts w:asciiTheme="minorHAnsi" w:hAnsiTheme="minorHAnsi"/>
          <w:color w:val="C4BC96" w:themeColor="background2" w:themeShade="BF"/>
          <w:sz w:val="24"/>
          <w:szCs w:val="24"/>
        </w:rPr>
      </w:pPr>
    </w:p>
    <w:sectPr w:rsidR="00415619" w:rsidRPr="00120327" w:rsidSect="00FD66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5CD" w:rsidRDefault="003035CD" w:rsidP="003035CD">
      <w:r>
        <w:separator/>
      </w:r>
    </w:p>
  </w:endnote>
  <w:endnote w:type="continuationSeparator" w:id="0">
    <w:p w:rsidR="003035CD" w:rsidRDefault="003035CD" w:rsidP="0030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panose1 w:val="020B0603030504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umnst777 Lt BT">
    <w:panose1 w:val="020B0402030504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toneSans">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180115"/>
      <w:docPartObj>
        <w:docPartGallery w:val="Page Numbers (Bottom of Page)"/>
        <w:docPartUnique/>
      </w:docPartObj>
    </w:sdtPr>
    <w:sdtEndPr>
      <w:rPr>
        <w:noProof/>
      </w:rPr>
    </w:sdtEndPr>
    <w:sdtContent>
      <w:p w:rsidR="00F4570C" w:rsidRDefault="00F4570C">
        <w:pPr>
          <w:pStyle w:val="Footer"/>
          <w:jc w:val="center"/>
        </w:pPr>
        <w:r>
          <w:fldChar w:fldCharType="begin"/>
        </w:r>
        <w:r>
          <w:instrText xml:space="preserve"> PAGE   \* MERGEFORMAT </w:instrText>
        </w:r>
        <w:r>
          <w:fldChar w:fldCharType="separate"/>
        </w:r>
        <w:r w:rsidR="00C55F12">
          <w:rPr>
            <w:noProof/>
          </w:rPr>
          <w:t>9</w:t>
        </w:r>
        <w:r>
          <w:rPr>
            <w:noProof/>
          </w:rPr>
          <w:fldChar w:fldCharType="end"/>
        </w:r>
      </w:p>
    </w:sdtContent>
  </w:sdt>
  <w:p w:rsidR="00F4570C" w:rsidRDefault="00F45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5CD" w:rsidRDefault="003035CD" w:rsidP="003035CD">
      <w:r>
        <w:separator/>
      </w:r>
    </w:p>
  </w:footnote>
  <w:footnote w:type="continuationSeparator" w:id="0">
    <w:p w:rsidR="003035CD" w:rsidRDefault="003035CD" w:rsidP="00303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CD" w:rsidRDefault="003035CD">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2937"/>
    <w:multiLevelType w:val="hybridMultilevel"/>
    <w:tmpl w:val="BFF4AC8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15:restartNumberingAfterBreak="0">
    <w:nsid w:val="021465D0"/>
    <w:multiLevelType w:val="multilevel"/>
    <w:tmpl w:val="8C46D6E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095B15AB"/>
    <w:multiLevelType w:val="multilevel"/>
    <w:tmpl w:val="CBAE814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i w:val="0"/>
        <w:color w:val="auto"/>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134"/>
        </w:tabs>
        <w:ind w:left="1134" w:hanging="1134"/>
      </w:pPr>
      <w:rPr>
        <w:rFonts w:hint="default"/>
        <w:sz w:val="22"/>
        <w:szCs w:val="22"/>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5F50DB9"/>
    <w:multiLevelType w:val="hybridMultilevel"/>
    <w:tmpl w:val="367EF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E4F77"/>
    <w:multiLevelType w:val="multilevel"/>
    <w:tmpl w:val="D946D54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0" w:hanging="360"/>
      </w:pPr>
      <w:rPr>
        <w:rFonts w:ascii="Courier New" w:hAnsi="Courier New" w:cs="Courier New" w:hint="default"/>
      </w:rPr>
    </w:lvl>
    <w:lvl w:ilvl="2">
      <w:start w:val="1"/>
      <w:numFmt w:val="none"/>
      <w:lvlText w:val=""/>
      <w:legacy w:legacy="1" w:legacySpace="120" w:legacyIndent="360"/>
      <w:lvlJc w:val="left"/>
      <w:pPr>
        <w:ind w:left="360" w:hanging="360"/>
      </w:pPr>
      <w:rPr>
        <w:rFonts w:ascii="Wingdings" w:hAnsi="Wingdings" w:hint="default"/>
      </w:rPr>
    </w:lvl>
    <w:lvl w:ilvl="3">
      <w:start w:val="1"/>
      <w:numFmt w:val="none"/>
      <w:lvlText w:val=""/>
      <w:legacy w:legacy="1" w:legacySpace="120" w:legacyIndent="360"/>
      <w:lvlJc w:val="left"/>
      <w:pPr>
        <w:ind w:left="720" w:hanging="360"/>
      </w:pPr>
      <w:rPr>
        <w:rFonts w:ascii="Symbol" w:hAnsi="Symbol" w:hint="default"/>
      </w:rPr>
    </w:lvl>
    <w:lvl w:ilvl="4">
      <w:start w:val="1"/>
      <w:numFmt w:val="none"/>
      <w:lvlText w:val="o"/>
      <w:legacy w:legacy="1" w:legacySpace="120" w:legacyIndent="360"/>
      <w:lvlJc w:val="left"/>
      <w:pPr>
        <w:ind w:left="1080" w:hanging="360"/>
      </w:pPr>
      <w:rPr>
        <w:rFonts w:ascii="Courier New" w:hAnsi="Courier New" w:cs="Courier New" w:hint="default"/>
      </w:rPr>
    </w:lvl>
    <w:lvl w:ilvl="5">
      <w:start w:val="1"/>
      <w:numFmt w:val="none"/>
      <w:lvlText w:val=""/>
      <w:legacy w:legacy="1" w:legacySpace="120" w:legacyIndent="360"/>
      <w:lvlJc w:val="left"/>
      <w:pPr>
        <w:ind w:left="1440" w:hanging="360"/>
      </w:pPr>
      <w:rPr>
        <w:rFonts w:ascii="Wingdings" w:hAnsi="Wingdings" w:hint="default"/>
      </w:rPr>
    </w:lvl>
    <w:lvl w:ilvl="6">
      <w:start w:val="1"/>
      <w:numFmt w:val="none"/>
      <w:lvlText w:val=""/>
      <w:legacy w:legacy="1" w:legacySpace="120" w:legacyIndent="360"/>
      <w:lvlJc w:val="left"/>
      <w:pPr>
        <w:ind w:left="1800" w:hanging="360"/>
      </w:pPr>
      <w:rPr>
        <w:rFonts w:ascii="Symbol" w:hAnsi="Symbol" w:hint="default"/>
      </w:rPr>
    </w:lvl>
    <w:lvl w:ilvl="7">
      <w:start w:val="1"/>
      <w:numFmt w:val="none"/>
      <w:lvlText w:val="o"/>
      <w:legacy w:legacy="1" w:legacySpace="120" w:legacyIndent="360"/>
      <w:lvlJc w:val="left"/>
      <w:pPr>
        <w:ind w:left="2160" w:hanging="360"/>
      </w:pPr>
      <w:rPr>
        <w:rFonts w:ascii="Courier New" w:hAnsi="Courier New" w:cs="Courier New" w:hint="default"/>
      </w:rPr>
    </w:lvl>
    <w:lvl w:ilvl="8">
      <w:start w:val="1"/>
      <w:numFmt w:val="none"/>
      <w:lvlText w:val=""/>
      <w:legacy w:legacy="1" w:legacySpace="120" w:legacyIndent="360"/>
      <w:lvlJc w:val="left"/>
      <w:pPr>
        <w:ind w:left="2520" w:hanging="360"/>
      </w:pPr>
      <w:rPr>
        <w:rFonts w:ascii="Wingdings" w:hAnsi="Wingdings" w:hint="default"/>
      </w:rPr>
    </w:lvl>
  </w:abstractNum>
  <w:abstractNum w:abstractNumId="5" w15:restartNumberingAfterBreak="0">
    <w:nsid w:val="2E401B1B"/>
    <w:multiLevelType w:val="hybridMultilevel"/>
    <w:tmpl w:val="33B8ABDA"/>
    <w:lvl w:ilvl="0" w:tplc="BF049EBE">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873DB8"/>
    <w:multiLevelType w:val="multilevel"/>
    <w:tmpl w:val="D946D54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15:restartNumberingAfterBreak="0">
    <w:nsid w:val="340C5EB3"/>
    <w:multiLevelType w:val="multilevel"/>
    <w:tmpl w:val="AC329DC8"/>
    <w:lvl w:ilvl="0">
      <w:start w:val="1"/>
      <w:numFmt w:val="bullet"/>
      <w:lvlText w:val=""/>
      <w:lvlJc w:val="left"/>
      <w:pPr>
        <w:ind w:left="775" w:hanging="360"/>
      </w:pPr>
      <w:rPr>
        <w:rFonts w:ascii="Symbol" w:eastAsia="Symbol" w:hAnsi="Symbol" w:cs="Symbol"/>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Wingdings" w:eastAsia="Wingdings" w:hAnsi="Wingdings" w:cs="Wingdings"/>
      </w:rPr>
    </w:lvl>
    <w:lvl w:ilvl="3">
      <w:start w:val="1"/>
      <w:numFmt w:val="bullet"/>
      <w:lvlText w:val=""/>
      <w:lvlJc w:val="left"/>
      <w:pPr>
        <w:ind w:left="2935" w:hanging="360"/>
      </w:pPr>
      <w:rPr>
        <w:rFonts w:ascii="Symbol" w:eastAsia="Symbol" w:hAnsi="Symbol" w:cs="Symbol"/>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Wingdings" w:eastAsia="Wingdings" w:hAnsi="Wingdings" w:cs="Wingdings"/>
      </w:rPr>
    </w:lvl>
    <w:lvl w:ilvl="6">
      <w:start w:val="1"/>
      <w:numFmt w:val="bullet"/>
      <w:lvlText w:val=""/>
      <w:lvlJc w:val="left"/>
      <w:pPr>
        <w:ind w:left="5095" w:hanging="360"/>
      </w:pPr>
      <w:rPr>
        <w:rFonts w:ascii="Symbol" w:eastAsia="Symbol" w:hAnsi="Symbol" w:cs="Symbol"/>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Wingdings" w:eastAsia="Wingdings" w:hAnsi="Wingdings" w:cs="Wingdings"/>
      </w:rPr>
    </w:lvl>
  </w:abstractNum>
  <w:abstractNum w:abstractNumId="8" w15:restartNumberingAfterBreak="0">
    <w:nsid w:val="3D41177A"/>
    <w:multiLevelType w:val="hybridMultilevel"/>
    <w:tmpl w:val="930A7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297FFB"/>
    <w:multiLevelType w:val="multilevel"/>
    <w:tmpl w:val="4ACCCCAA"/>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0" w15:restartNumberingAfterBreak="0">
    <w:nsid w:val="44176020"/>
    <w:multiLevelType w:val="hybridMultilevel"/>
    <w:tmpl w:val="EABA9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820078"/>
    <w:multiLevelType w:val="multilevel"/>
    <w:tmpl w:val="4802E690"/>
    <w:lvl w:ilvl="0">
      <w:start w:val="1"/>
      <w:numFmt w:val="lowerRoman"/>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2" w15:restartNumberingAfterBreak="0">
    <w:nsid w:val="4C906D1B"/>
    <w:multiLevelType w:val="hybridMultilevel"/>
    <w:tmpl w:val="02361D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7B863F7"/>
    <w:multiLevelType w:val="hybridMultilevel"/>
    <w:tmpl w:val="7F3CA9FA"/>
    <w:lvl w:ilvl="0" w:tplc="4088FF16">
      <w:start w:val="1"/>
      <w:numFmt w:val="bullet"/>
      <w:lvlText w:val=""/>
      <w:lvlJc w:val="left"/>
      <w:pPr>
        <w:tabs>
          <w:tab w:val="num" w:pos="363"/>
        </w:tabs>
        <w:ind w:left="363" w:hanging="363"/>
      </w:pPr>
      <w:rPr>
        <w:rFonts w:ascii="Symbol" w:hAnsi="Symbol" w:hint="default"/>
      </w:rPr>
    </w:lvl>
    <w:lvl w:ilvl="1" w:tplc="08090003" w:tentative="1">
      <w:start w:val="1"/>
      <w:numFmt w:val="bullet"/>
      <w:lvlText w:val="o"/>
      <w:lvlJc w:val="left"/>
      <w:pPr>
        <w:tabs>
          <w:tab w:val="num" w:pos="1083"/>
        </w:tabs>
        <w:ind w:left="1083" w:hanging="360"/>
      </w:pPr>
      <w:rPr>
        <w:rFonts w:ascii="Courier New" w:hAnsi="Courier New" w:cs="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14" w15:restartNumberingAfterBreak="0">
    <w:nsid w:val="58F03F40"/>
    <w:multiLevelType w:val="hybridMultilevel"/>
    <w:tmpl w:val="8DFEF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9C18E1"/>
    <w:multiLevelType w:val="hybridMultilevel"/>
    <w:tmpl w:val="33129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E13CC6"/>
    <w:multiLevelType w:val="hybridMultilevel"/>
    <w:tmpl w:val="54968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F31A0"/>
    <w:multiLevelType w:val="hybridMultilevel"/>
    <w:tmpl w:val="23EC7B20"/>
    <w:lvl w:ilvl="0" w:tplc="BF049EBE">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7E2DDA"/>
    <w:multiLevelType w:val="hybridMultilevel"/>
    <w:tmpl w:val="9A42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803141"/>
    <w:multiLevelType w:val="multilevel"/>
    <w:tmpl w:val="9D82F952"/>
    <w:lvl w:ilvl="0">
      <w:start w:val="1"/>
      <w:numFmt w:val="lowerRoman"/>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0" w15:restartNumberingAfterBreak="0">
    <w:nsid w:val="77FA12A4"/>
    <w:multiLevelType w:val="hybridMultilevel"/>
    <w:tmpl w:val="9A24DEF0"/>
    <w:lvl w:ilvl="0" w:tplc="08090001">
      <w:start w:val="1"/>
      <w:numFmt w:val="bullet"/>
      <w:lvlText w:val=""/>
      <w:lvlJc w:val="left"/>
      <w:pPr>
        <w:ind w:left="2291" w:hanging="360"/>
      </w:pPr>
      <w:rPr>
        <w:rFonts w:ascii="Symbol" w:hAnsi="Symbol" w:hint="default"/>
      </w:rPr>
    </w:lvl>
    <w:lvl w:ilvl="1" w:tplc="08090003" w:tentative="1">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num w:numId="1">
    <w:abstractNumId w:val="1"/>
  </w:num>
  <w:num w:numId="2">
    <w:abstractNumId w:val="13"/>
  </w:num>
  <w:num w:numId="3">
    <w:abstractNumId w:val="6"/>
  </w:num>
  <w:num w:numId="4">
    <w:abstractNumId w:val="4"/>
  </w:num>
  <w:num w:numId="5">
    <w:abstractNumId w:val="0"/>
  </w:num>
  <w:num w:numId="6">
    <w:abstractNumId w:val="10"/>
  </w:num>
  <w:num w:numId="7">
    <w:abstractNumId w:val="14"/>
  </w:num>
  <w:num w:numId="8">
    <w:abstractNumId w:val="16"/>
  </w:num>
  <w:num w:numId="9">
    <w:abstractNumId w:val="12"/>
  </w:num>
  <w:num w:numId="10">
    <w:abstractNumId w:val="2"/>
  </w:num>
  <w:num w:numId="11">
    <w:abstractNumId w:val="3"/>
  </w:num>
  <w:num w:numId="12">
    <w:abstractNumId w:val="18"/>
  </w:num>
  <w:num w:numId="13">
    <w:abstractNumId w:val="15"/>
  </w:num>
  <w:num w:numId="14">
    <w:abstractNumId w:val="7"/>
  </w:num>
  <w:num w:numId="15">
    <w:abstractNumId w:val="19"/>
  </w:num>
  <w:num w:numId="16">
    <w:abstractNumId w:val="9"/>
  </w:num>
  <w:num w:numId="17">
    <w:abstractNumId w:val="11"/>
  </w:num>
  <w:num w:numId="18">
    <w:abstractNumId w:val="8"/>
  </w:num>
  <w:num w:numId="19">
    <w:abstractNumId w:val="17"/>
  </w:num>
  <w:num w:numId="20">
    <w:abstractNumId w:val="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19"/>
    <w:rsid w:val="00003C94"/>
    <w:rsid w:val="000060D9"/>
    <w:rsid w:val="00016E2A"/>
    <w:rsid w:val="000176F6"/>
    <w:rsid w:val="00033A34"/>
    <w:rsid w:val="000445FE"/>
    <w:rsid w:val="00044777"/>
    <w:rsid w:val="0005250A"/>
    <w:rsid w:val="00061FD9"/>
    <w:rsid w:val="00063082"/>
    <w:rsid w:val="00067976"/>
    <w:rsid w:val="000C1079"/>
    <w:rsid w:val="000C2280"/>
    <w:rsid w:val="000D1E48"/>
    <w:rsid w:val="000E11C4"/>
    <w:rsid w:val="000E26F8"/>
    <w:rsid w:val="000E57B8"/>
    <w:rsid w:val="000F171E"/>
    <w:rsid w:val="0010076A"/>
    <w:rsid w:val="0011771E"/>
    <w:rsid w:val="00120327"/>
    <w:rsid w:val="00125E76"/>
    <w:rsid w:val="00133064"/>
    <w:rsid w:val="00150A30"/>
    <w:rsid w:val="001851BD"/>
    <w:rsid w:val="00186A36"/>
    <w:rsid w:val="00193547"/>
    <w:rsid w:val="001A0B55"/>
    <w:rsid w:val="001C1F24"/>
    <w:rsid w:val="001D2FF2"/>
    <w:rsid w:val="001D3AEC"/>
    <w:rsid w:val="001F2BCE"/>
    <w:rsid w:val="0020117A"/>
    <w:rsid w:val="00211B68"/>
    <w:rsid w:val="00213D9C"/>
    <w:rsid w:val="002142A6"/>
    <w:rsid w:val="0021763A"/>
    <w:rsid w:val="00237373"/>
    <w:rsid w:val="00295428"/>
    <w:rsid w:val="00296ABD"/>
    <w:rsid w:val="002A4EB7"/>
    <w:rsid w:val="002E7AAD"/>
    <w:rsid w:val="003035CD"/>
    <w:rsid w:val="00311DD6"/>
    <w:rsid w:val="00313A05"/>
    <w:rsid w:val="00323453"/>
    <w:rsid w:val="0036201C"/>
    <w:rsid w:val="003A1197"/>
    <w:rsid w:val="003E016E"/>
    <w:rsid w:val="003E25FC"/>
    <w:rsid w:val="00402FC2"/>
    <w:rsid w:val="00405EF5"/>
    <w:rsid w:val="00415619"/>
    <w:rsid w:val="00421816"/>
    <w:rsid w:val="00422A23"/>
    <w:rsid w:val="00442922"/>
    <w:rsid w:val="004429D3"/>
    <w:rsid w:val="004732A5"/>
    <w:rsid w:val="00483F6A"/>
    <w:rsid w:val="004931E4"/>
    <w:rsid w:val="004D074E"/>
    <w:rsid w:val="004E3669"/>
    <w:rsid w:val="004F2967"/>
    <w:rsid w:val="005038EC"/>
    <w:rsid w:val="00524961"/>
    <w:rsid w:val="00525C94"/>
    <w:rsid w:val="00537DAA"/>
    <w:rsid w:val="00540A69"/>
    <w:rsid w:val="00543209"/>
    <w:rsid w:val="00543BB0"/>
    <w:rsid w:val="0054690C"/>
    <w:rsid w:val="00567DC8"/>
    <w:rsid w:val="00580D0C"/>
    <w:rsid w:val="00587A44"/>
    <w:rsid w:val="005D7DC0"/>
    <w:rsid w:val="005E549E"/>
    <w:rsid w:val="005E7076"/>
    <w:rsid w:val="00607543"/>
    <w:rsid w:val="00613F74"/>
    <w:rsid w:val="00615886"/>
    <w:rsid w:val="006302F6"/>
    <w:rsid w:val="0063449D"/>
    <w:rsid w:val="006349D2"/>
    <w:rsid w:val="00643044"/>
    <w:rsid w:val="0066424B"/>
    <w:rsid w:val="006751AA"/>
    <w:rsid w:val="006A0FA8"/>
    <w:rsid w:val="006A65C2"/>
    <w:rsid w:val="006B2301"/>
    <w:rsid w:val="006B31D4"/>
    <w:rsid w:val="006B4C35"/>
    <w:rsid w:val="006C0872"/>
    <w:rsid w:val="006D17AC"/>
    <w:rsid w:val="006D245C"/>
    <w:rsid w:val="006E585C"/>
    <w:rsid w:val="006F03E6"/>
    <w:rsid w:val="007033E4"/>
    <w:rsid w:val="0070559F"/>
    <w:rsid w:val="00716557"/>
    <w:rsid w:val="007226B6"/>
    <w:rsid w:val="007273A0"/>
    <w:rsid w:val="007330E3"/>
    <w:rsid w:val="00742AC3"/>
    <w:rsid w:val="00751CB3"/>
    <w:rsid w:val="00770D09"/>
    <w:rsid w:val="0077575A"/>
    <w:rsid w:val="007769AE"/>
    <w:rsid w:val="007804DD"/>
    <w:rsid w:val="0078285F"/>
    <w:rsid w:val="007B0987"/>
    <w:rsid w:val="007B2777"/>
    <w:rsid w:val="007C02D5"/>
    <w:rsid w:val="007E31C0"/>
    <w:rsid w:val="008177C2"/>
    <w:rsid w:val="00827741"/>
    <w:rsid w:val="008742FC"/>
    <w:rsid w:val="008838DE"/>
    <w:rsid w:val="00890FD5"/>
    <w:rsid w:val="008936E7"/>
    <w:rsid w:val="008A2CEE"/>
    <w:rsid w:val="008A2D85"/>
    <w:rsid w:val="008B1A1D"/>
    <w:rsid w:val="008C3187"/>
    <w:rsid w:val="008C4A14"/>
    <w:rsid w:val="008D128B"/>
    <w:rsid w:val="008D50FA"/>
    <w:rsid w:val="008F5B17"/>
    <w:rsid w:val="00913424"/>
    <w:rsid w:val="00916211"/>
    <w:rsid w:val="00934AD3"/>
    <w:rsid w:val="00934B4E"/>
    <w:rsid w:val="009525E2"/>
    <w:rsid w:val="00973777"/>
    <w:rsid w:val="00974869"/>
    <w:rsid w:val="00993167"/>
    <w:rsid w:val="009A19A9"/>
    <w:rsid w:val="009A5FA2"/>
    <w:rsid w:val="009B3B14"/>
    <w:rsid w:val="009E3488"/>
    <w:rsid w:val="009E754A"/>
    <w:rsid w:val="009F0BA1"/>
    <w:rsid w:val="009F432D"/>
    <w:rsid w:val="009F55C0"/>
    <w:rsid w:val="00A01172"/>
    <w:rsid w:val="00A45B90"/>
    <w:rsid w:val="00A65CC1"/>
    <w:rsid w:val="00A65E76"/>
    <w:rsid w:val="00A7634D"/>
    <w:rsid w:val="00AA3135"/>
    <w:rsid w:val="00AA7409"/>
    <w:rsid w:val="00AC11D6"/>
    <w:rsid w:val="00AC7804"/>
    <w:rsid w:val="00B52D31"/>
    <w:rsid w:val="00B6255D"/>
    <w:rsid w:val="00B7092D"/>
    <w:rsid w:val="00B7128B"/>
    <w:rsid w:val="00BB1B24"/>
    <w:rsid w:val="00BC3398"/>
    <w:rsid w:val="00BF0B3C"/>
    <w:rsid w:val="00C127AF"/>
    <w:rsid w:val="00C14B58"/>
    <w:rsid w:val="00C55F12"/>
    <w:rsid w:val="00C5772B"/>
    <w:rsid w:val="00C70CBF"/>
    <w:rsid w:val="00CA057C"/>
    <w:rsid w:val="00CC2FAB"/>
    <w:rsid w:val="00CE0B6B"/>
    <w:rsid w:val="00CE2352"/>
    <w:rsid w:val="00CE7036"/>
    <w:rsid w:val="00D15CD2"/>
    <w:rsid w:val="00D3169A"/>
    <w:rsid w:val="00D363E4"/>
    <w:rsid w:val="00D9587D"/>
    <w:rsid w:val="00DB7BC2"/>
    <w:rsid w:val="00DC6EF1"/>
    <w:rsid w:val="00DD08D3"/>
    <w:rsid w:val="00DE6D62"/>
    <w:rsid w:val="00DF07B9"/>
    <w:rsid w:val="00DF28CE"/>
    <w:rsid w:val="00E0286D"/>
    <w:rsid w:val="00E216E8"/>
    <w:rsid w:val="00E26C3B"/>
    <w:rsid w:val="00E429BD"/>
    <w:rsid w:val="00E5641E"/>
    <w:rsid w:val="00E72773"/>
    <w:rsid w:val="00E83C37"/>
    <w:rsid w:val="00E93529"/>
    <w:rsid w:val="00EA13E5"/>
    <w:rsid w:val="00EA6824"/>
    <w:rsid w:val="00EC0CDA"/>
    <w:rsid w:val="00EC1A1A"/>
    <w:rsid w:val="00ED28E7"/>
    <w:rsid w:val="00EE4976"/>
    <w:rsid w:val="00EF5BF4"/>
    <w:rsid w:val="00F07A82"/>
    <w:rsid w:val="00F207A4"/>
    <w:rsid w:val="00F208A3"/>
    <w:rsid w:val="00F21F6B"/>
    <w:rsid w:val="00F4570C"/>
    <w:rsid w:val="00F6117F"/>
    <w:rsid w:val="00F63C2E"/>
    <w:rsid w:val="00F70C9F"/>
    <w:rsid w:val="00F80274"/>
    <w:rsid w:val="00FB2B1A"/>
    <w:rsid w:val="00FC3009"/>
    <w:rsid w:val="00FC4EE4"/>
    <w:rsid w:val="00FC5CA1"/>
    <w:rsid w:val="00FD6682"/>
    <w:rsid w:val="00FE0B42"/>
    <w:rsid w:val="00FE69ED"/>
    <w:rsid w:val="00FF2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AF12"/>
  <w15:docId w15:val="{3995A2FF-3622-4F31-9785-F010CD3E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619"/>
    <w:pPr>
      <w:spacing w:after="0" w:line="240" w:lineRule="auto"/>
    </w:pPr>
  </w:style>
  <w:style w:type="paragraph" w:styleId="Heading1">
    <w:name w:val="heading 1"/>
    <w:basedOn w:val="Normal"/>
    <w:next w:val="Normal"/>
    <w:link w:val="Heading1Char"/>
    <w:qFormat/>
    <w:rsid w:val="00D363E4"/>
    <w:pPr>
      <w:keepNext/>
      <w:overflowPunct w:val="0"/>
      <w:autoSpaceDE w:val="0"/>
      <w:autoSpaceDN w:val="0"/>
      <w:adjustRightInd w:val="0"/>
      <w:ind w:left="284" w:right="-43" w:hanging="284"/>
      <w:jc w:val="center"/>
      <w:textAlignment w:val="baseline"/>
      <w:outlineLvl w:val="0"/>
    </w:pPr>
    <w:rPr>
      <w:rFonts w:ascii="Humnst777 BT" w:eastAsia="Times New Roman" w:hAnsi="Humnst777 BT" w:cs="Times New Roman"/>
      <w:b/>
      <w:sz w:val="28"/>
      <w:szCs w:val="20"/>
    </w:rPr>
  </w:style>
  <w:style w:type="paragraph" w:styleId="Heading2">
    <w:name w:val="heading 2"/>
    <w:basedOn w:val="Normal"/>
    <w:next w:val="Normal"/>
    <w:link w:val="Heading2Char"/>
    <w:uiPriority w:val="9"/>
    <w:unhideWhenUsed/>
    <w:qFormat/>
    <w:rsid w:val="001177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619"/>
    <w:rPr>
      <w:color w:val="0000FF" w:themeColor="hyperlink"/>
      <w:u w:val="single"/>
    </w:rPr>
  </w:style>
  <w:style w:type="paragraph" w:styleId="BodyText">
    <w:name w:val="Body Text"/>
    <w:basedOn w:val="Normal"/>
    <w:link w:val="BodyTextChar"/>
    <w:semiHidden/>
    <w:unhideWhenUsed/>
    <w:rsid w:val="00415619"/>
    <w:pPr>
      <w:jc w:val="both"/>
    </w:pPr>
    <w:rPr>
      <w:rFonts w:ascii="Humnst777 BT" w:eastAsia="Times New Roman" w:hAnsi="Humnst777 BT" w:cs="Times New Roman"/>
      <w:sz w:val="20"/>
      <w:szCs w:val="24"/>
    </w:rPr>
  </w:style>
  <w:style w:type="character" w:customStyle="1" w:styleId="BodyTextChar">
    <w:name w:val="Body Text Char"/>
    <w:basedOn w:val="DefaultParagraphFont"/>
    <w:link w:val="BodyText"/>
    <w:uiPriority w:val="99"/>
    <w:rsid w:val="00415619"/>
    <w:rPr>
      <w:rFonts w:ascii="Humnst777 BT" w:eastAsia="Times New Roman" w:hAnsi="Humnst777 BT" w:cs="Times New Roman"/>
      <w:sz w:val="20"/>
      <w:szCs w:val="24"/>
    </w:rPr>
  </w:style>
  <w:style w:type="paragraph" w:styleId="PlainText">
    <w:name w:val="Plain Text"/>
    <w:basedOn w:val="Normal"/>
    <w:link w:val="PlainTextChar"/>
    <w:uiPriority w:val="99"/>
    <w:unhideWhenUsed/>
    <w:rsid w:val="00415619"/>
    <w:rPr>
      <w:rFonts w:ascii="Consolas" w:hAnsi="Consolas"/>
      <w:sz w:val="21"/>
      <w:szCs w:val="21"/>
    </w:rPr>
  </w:style>
  <w:style w:type="character" w:customStyle="1" w:styleId="PlainTextChar">
    <w:name w:val="Plain Text Char"/>
    <w:basedOn w:val="DefaultParagraphFont"/>
    <w:link w:val="PlainText"/>
    <w:uiPriority w:val="99"/>
    <w:rsid w:val="00415619"/>
    <w:rPr>
      <w:rFonts w:ascii="Consolas" w:hAnsi="Consolas"/>
      <w:sz w:val="21"/>
      <w:szCs w:val="21"/>
    </w:rPr>
  </w:style>
  <w:style w:type="table" w:styleId="TableGrid">
    <w:name w:val="Table Grid"/>
    <w:basedOn w:val="TableNormal"/>
    <w:uiPriority w:val="59"/>
    <w:rsid w:val="004156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934AD3"/>
    <w:rPr>
      <w:color w:val="800080" w:themeColor="followedHyperlink"/>
      <w:u w:val="single"/>
    </w:rPr>
  </w:style>
  <w:style w:type="paragraph" w:styleId="BodyText2">
    <w:name w:val="Body Text 2"/>
    <w:basedOn w:val="Normal"/>
    <w:link w:val="BodyText2Char"/>
    <w:uiPriority w:val="99"/>
    <w:semiHidden/>
    <w:unhideWhenUsed/>
    <w:rsid w:val="00D363E4"/>
    <w:pPr>
      <w:spacing w:after="120" w:line="480" w:lineRule="auto"/>
    </w:pPr>
  </w:style>
  <w:style w:type="character" w:customStyle="1" w:styleId="BodyText2Char">
    <w:name w:val="Body Text 2 Char"/>
    <w:basedOn w:val="DefaultParagraphFont"/>
    <w:link w:val="BodyText2"/>
    <w:uiPriority w:val="99"/>
    <w:semiHidden/>
    <w:rsid w:val="00D363E4"/>
  </w:style>
  <w:style w:type="character" w:customStyle="1" w:styleId="Heading1Char">
    <w:name w:val="Heading 1 Char"/>
    <w:basedOn w:val="DefaultParagraphFont"/>
    <w:link w:val="Heading1"/>
    <w:rsid w:val="00D363E4"/>
    <w:rPr>
      <w:rFonts w:ascii="Humnst777 BT" w:eastAsia="Times New Roman" w:hAnsi="Humnst777 BT" w:cs="Times New Roman"/>
      <w:b/>
      <w:sz w:val="28"/>
      <w:szCs w:val="20"/>
    </w:rPr>
  </w:style>
  <w:style w:type="paragraph" w:styleId="BodyText3">
    <w:name w:val="Body Text 3"/>
    <w:basedOn w:val="Normal"/>
    <w:link w:val="BodyText3Char"/>
    <w:uiPriority w:val="99"/>
    <w:semiHidden/>
    <w:unhideWhenUsed/>
    <w:rsid w:val="00AC11D6"/>
    <w:pPr>
      <w:spacing w:after="120"/>
    </w:pPr>
    <w:rPr>
      <w:sz w:val="16"/>
      <w:szCs w:val="16"/>
    </w:rPr>
  </w:style>
  <w:style w:type="character" w:customStyle="1" w:styleId="BodyText3Char">
    <w:name w:val="Body Text 3 Char"/>
    <w:basedOn w:val="DefaultParagraphFont"/>
    <w:link w:val="BodyText3"/>
    <w:uiPriority w:val="99"/>
    <w:semiHidden/>
    <w:rsid w:val="00AC11D6"/>
    <w:rPr>
      <w:sz w:val="16"/>
      <w:szCs w:val="16"/>
    </w:rPr>
  </w:style>
  <w:style w:type="paragraph" w:styleId="ListParagraph">
    <w:name w:val="List Paragraph"/>
    <w:basedOn w:val="Normal"/>
    <w:uiPriority w:val="34"/>
    <w:qFormat/>
    <w:rsid w:val="00AC11D6"/>
    <w:pPr>
      <w:overflowPunct w:val="0"/>
      <w:autoSpaceDE w:val="0"/>
      <w:autoSpaceDN w:val="0"/>
      <w:adjustRightInd w:val="0"/>
      <w:spacing w:before="120" w:after="120"/>
      <w:ind w:left="720"/>
      <w:jc w:val="both"/>
      <w:textAlignment w:val="baseline"/>
    </w:pPr>
    <w:rPr>
      <w:rFonts w:ascii="Humnst777 BT" w:eastAsia="Times New Roman" w:hAnsi="Humnst777 BT" w:cs="Times New Roman"/>
      <w:sz w:val="20"/>
      <w:szCs w:val="20"/>
      <w:lang w:eastAsia="en-GB"/>
    </w:rPr>
  </w:style>
  <w:style w:type="character" w:customStyle="1" w:styleId="apple-style-span">
    <w:name w:val="apple-style-span"/>
    <w:basedOn w:val="DefaultParagraphFont"/>
    <w:rsid w:val="00AC11D6"/>
  </w:style>
  <w:style w:type="character" w:styleId="CommentReference">
    <w:name w:val="annotation reference"/>
    <w:basedOn w:val="DefaultParagraphFont"/>
    <w:uiPriority w:val="99"/>
    <w:semiHidden/>
    <w:unhideWhenUsed/>
    <w:rsid w:val="00211B68"/>
    <w:rPr>
      <w:sz w:val="16"/>
      <w:szCs w:val="16"/>
    </w:rPr>
  </w:style>
  <w:style w:type="paragraph" w:styleId="CommentText">
    <w:name w:val="annotation text"/>
    <w:basedOn w:val="Normal"/>
    <w:link w:val="CommentTextChar"/>
    <w:uiPriority w:val="99"/>
    <w:semiHidden/>
    <w:unhideWhenUsed/>
    <w:rsid w:val="00211B68"/>
    <w:rPr>
      <w:sz w:val="20"/>
      <w:szCs w:val="20"/>
    </w:rPr>
  </w:style>
  <w:style w:type="character" w:customStyle="1" w:styleId="CommentTextChar">
    <w:name w:val="Comment Text Char"/>
    <w:basedOn w:val="DefaultParagraphFont"/>
    <w:link w:val="CommentText"/>
    <w:uiPriority w:val="99"/>
    <w:semiHidden/>
    <w:rsid w:val="00211B68"/>
    <w:rPr>
      <w:sz w:val="20"/>
      <w:szCs w:val="20"/>
    </w:rPr>
  </w:style>
  <w:style w:type="paragraph" w:styleId="CommentSubject">
    <w:name w:val="annotation subject"/>
    <w:basedOn w:val="CommentText"/>
    <w:next w:val="CommentText"/>
    <w:link w:val="CommentSubjectChar"/>
    <w:uiPriority w:val="99"/>
    <w:semiHidden/>
    <w:unhideWhenUsed/>
    <w:rsid w:val="00211B68"/>
    <w:rPr>
      <w:b/>
      <w:bCs/>
    </w:rPr>
  </w:style>
  <w:style w:type="character" w:customStyle="1" w:styleId="CommentSubjectChar">
    <w:name w:val="Comment Subject Char"/>
    <w:basedOn w:val="CommentTextChar"/>
    <w:link w:val="CommentSubject"/>
    <w:uiPriority w:val="99"/>
    <w:semiHidden/>
    <w:rsid w:val="00211B68"/>
    <w:rPr>
      <w:b/>
      <w:bCs/>
      <w:sz w:val="20"/>
      <w:szCs w:val="20"/>
    </w:rPr>
  </w:style>
  <w:style w:type="paragraph" w:styleId="BalloonText">
    <w:name w:val="Balloon Text"/>
    <w:basedOn w:val="Normal"/>
    <w:link w:val="BalloonTextChar"/>
    <w:uiPriority w:val="99"/>
    <w:semiHidden/>
    <w:unhideWhenUsed/>
    <w:rsid w:val="00211B68"/>
    <w:rPr>
      <w:rFonts w:ascii="Tahoma" w:hAnsi="Tahoma" w:cs="Tahoma"/>
      <w:sz w:val="16"/>
      <w:szCs w:val="16"/>
    </w:rPr>
  </w:style>
  <w:style w:type="character" w:customStyle="1" w:styleId="BalloonTextChar">
    <w:name w:val="Balloon Text Char"/>
    <w:basedOn w:val="DefaultParagraphFont"/>
    <w:link w:val="BalloonText"/>
    <w:uiPriority w:val="99"/>
    <w:semiHidden/>
    <w:rsid w:val="00211B68"/>
    <w:rPr>
      <w:rFonts w:ascii="Tahoma" w:hAnsi="Tahoma" w:cs="Tahoma"/>
      <w:sz w:val="16"/>
      <w:szCs w:val="16"/>
    </w:rPr>
  </w:style>
  <w:style w:type="character" w:customStyle="1" w:styleId="Heading2Char">
    <w:name w:val="Heading 2 Char"/>
    <w:basedOn w:val="DefaultParagraphFont"/>
    <w:link w:val="Heading2"/>
    <w:uiPriority w:val="9"/>
    <w:rsid w:val="0011771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3035CD"/>
    <w:pPr>
      <w:tabs>
        <w:tab w:val="center" w:pos="4153"/>
        <w:tab w:val="right" w:pos="8306"/>
      </w:tabs>
      <w:autoSpaceDE w:val="0"/>
      <w:autoSpaceDN w:val="0"/>
      <w:adjustRightInd w:val="0"/>
      <w:spacing w:before="120" w:after="120"/>
      <w:jc w:val="both"/>
    </w:pPr>
    <w:rPr>
      <w:rFonts w:ascii="Humnst777 BT" w:eastAsia="Humnst777 BT" w:hAnsi="Humnst777 BT" w:cs="Humnst777 BT"/>
      <w:sz w:val="20"/>
      <w:szCs w:val="20"/>
      <w:lang w:eastAsia="ar-SA"/>
    </w:rPr>
  </w:style>
  <w:style w:type="character" w:customStyle="1" w:styleId="HeaderChar">
    <w:name w:val="Header Char"/>
    <w:basedOn w:val="DefaultParagraphFont"/>
    <w:link w:val="Header"/>
    <w:rsid w:val="003035CD"/>
    <w:rPr>
      <w:rFonts w:ascii="Humnst777 BT" w:eastAsia="Humnst777 BT" w:hAnsi="Humnst777 BT" w:cs="Humnst777 BT"/>
      <w:sz w:val="20"/>
      <w:szCs w:val="20"/>
      <w:lang w:eastAsia="ar-SA"/>
    </w:rPr>
  </w:style>
  <w:style w:type="paragraph" w:styleId="Caption">
    <w:name w:val="caption"/>
    <w:basedOn w:val="Normal"/>
    <w:qFormat/>
    <w:rsid w:val="003035CD"/>
    <w:pPr>
      <w:keepNext/>
      <w:autoSpaceDE w:val="0"/>
      <w:autoSpaceDN w:val="0"/>
      <w:adjustRightInd w:val="0"/>
      <w:spacing w:before="240" w:after="120"/>
      <w:jc w:val="both"/>
    </w:pPr>
    <w:rPr>
      <w:rFonts w:ascii="Humnst777 BT" w:eastAsia="Humnst777 BT" w:hAnsi="Humnst777 BT" w:cs="Humnst777 BT"/>
      <w:b/>
      <w:sz w:val="20"/>
      <w:szCs w:val="24"/>
    </w:rPr>
  </w:style>
  <w:style w:type="paragraph" w:styleId="Footer">
    <w:name w:val="footer"/>
    <w:basedOn w:val="Normal"/>
    <w:link w:val="FooterChar"/>
    <w:uiPriority w:val="99"/>
    <w:unhideWhenUsed/>
    <w:rsid w:val="003035CD"/>
    <w:pPr>
      <w:tabs>
        <w:tab w:val="center" w:pos="4513"/>
        <w:tab w:val="right" w:pos="9026"/>
      </w:tabs>
    </w:pPr>
  </w:style>
  <w:style w:type="character" w:customStyle="1" w:styleId="FooterChar">
    <w:name w:val="Footer Char"/>
    <w:basedOn w:val="DefaultParagraphFont"/>
    <w:link w:val="Footer"/>
    <w:uiPriority w:val="99"/>
    <w:rsid w:val="00303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7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cu.canterbury.ac.uk/assessment-regulations-review/docs/bulletins/Academic-Journey-Bulletin-Issue-8-February-2018.pdf" TargetMode="External"/><Relationship Id="rId13" Type="http://schemas.openxmlformats.org/officeDocument/2006/relationships/hyperlink" Target="http://www.qaa.ac.uk/Publications/InformationAndGuidance/Pages/quality-code-B2.aspx" TargetMode="External"/><Relationship Id="rId18" Type="http://schemas.openxmlformats.org/officeDocument/2006/relationships/hyperlink" Target="http://www.qaa.ac.uk/Publications/InformationAndGuidance/Pages/quality-code-B7.aspx" TargetMode="External"/><Relationship Id="rId26" Type="http://schemas.openxmlformats.org/officeDocument/2006/relationships/hyperlink" Target="https://cccu.canterbury.ac.uk/strategic-framework/strategic-framework.aspx" TargetMode="External"/><Relationship Id="rId3" Type="http://schemas.openxmlformats.org/officeDocument/2006/relationships/styles" Target="styles.xml"/><Relationship Id="rId21" Type="http://schemas.openxmlformats.org/officeDocument/2006/relationships/hyperlink" Target="http://www.qaa.ac.uk/Publications/InformationAndGuidance/Pages/quality-code-B10.aspx" TargetMode="External"/><Relationship Id="rId34" Type="http://schemas.openxmlformats.org/officeDocument/2006/relationships/hyperlink" Target="http://www.canterbury.ac.uk/quality-and-standards-office/docs/Assessment-grading-criteria---Level-6---Final-04-10-10.pdf" TargetMode="External"/><Relationship Id="rId7" Type="http://schemas.openxmlformats.org/officeDocument/2006/relationships/endnotes" Target="endnotes.xml"/><Relationship Id="rId12" Type="http://schemas.openxmlformats.org/officeDocument/2006/relationships/hyperlink" Target="http://www.qaa.ac.uk/Publications/InformationAndGuidance/Pages/quality-code-B1.aspx" TargetMode="External"/><Relationship Id="rId17" Type="http://schemas.openxmlformats.org/officeDocument/2006/relationships/hyperlink" Target="http://www.qaa.ac.uk/Publications/InformationAndGuidance/Pages/quality-code-B6.aspx" TargetMode="External"/><Relationship Id="rId25" Type="http://schemas.openxmlformats.org/officeDocument/2006/relationships/footer" Target="footer1.xml"/><Relationship Id="rId33" Type="http://schemas.openxmlformats.org/officeDocument/2006/relationships/hyperlink" Target="http://www.canterbury.ac.uk/quality-and-standards-office/docs/Assessment-grading-criteria--Level-4-final-04-10-10.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qaa.ac.uk/Publications/InformationAndGuidance/Pages/quality-code-B5.aspx" TargetMode="External"/><Relationship Id="rId20" Type="http://schemas.openxmlformats.org/officeDocument/2006/relationships/hyperlink" Target="http://www.qaa.ac.uk/Publications/InformationAndGuidance/Pages/quality-code-B9.aspx" TargetMode="External"/><Relationship Id="rId29" Type="http://schemas.openxmlformats.org/officeDocument/2006/relationships/hyperlink" Target="http://www.canterbury.ac.uk/quality-and-standards-office/regulation-and-policy-zone/regulation-and-credit-framework.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aa.ac.uk/assuring-standards-and-quality/the-quality-code/quality-code-part-b" TargetMode="External"/><Relationship Id="rId24" Type="http://schemas.openxmlformats.org/officeDocument/2006/relationships/header" Target="header1.xml"/><Relationship Id="rId32" Type="http://schemas.openxmlformats.org/officeDocument/2006/relationships/hyperlink" Target="http://www.canterbury.ac.uk/learning-and-teaching-enhancement/what-we-do/policies-and-resources/technology-enhanced-learning-strategy.asp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qaa.ac.uk/Publications/InformationAndGuidance/Pages/quality-code-B4.aspx" TargetMode="External"/><Relationship Id="rId23" Type="http://schemas.openxmlformats.org/officeDocument/2006/relationships/hyperlink" Target="http://www.qaa.ac.uk/assuring-standards-and-quality/the-quality-code/quality-code-part-c" TargetMode="External"/><Relationship Id="rId28" Type="http://schemas.openxmlformats.org/officeDocument/2006/relationships/hyperlink" Target="http://www.canterbury.ac.uk/quality-and-standards-office/external-examiners/external-examiners.aspx" TargetMode="External"/><Relationship Id="rId36" Type="http://schemas.openxmlformats.org/officeDocument/2006/relationships/hyperlink" Target="http://www.canterbury.ac.uk/study-here/postgraduate-taught/postgraduate-taught-courses.aspx" TargetMode="External"/><Relationship Id="rId10" Type="http://schemas.openxmlformats.org/officeDocument/2006/relationships/hyperlink" Target="http://www.canterbury.ac.uk/quality-and-standards-office/quality-manual.aspx" TargetMode="External"/><Relationship Id="rId19" Type="http://schemas.openxmlformats.org/officeDocument/2006/relationships/hyperlink" Target="http://www.qaa.ac.uk/Publications/InformationAndGuidance/Pages/quality-code-B8.aspx" TargetMode="External"/><Relationship Id="rId31" Type="http://schemas.openxmlformats.org/officeDocument/2006/relationships/hyperlink" Target="http://www.canterbury.ac.uk/quality-and-standards-office/regulation-and-policy-zone/special-regulations.aspx" TargetMode="External"/><Relationship Id="rId4" Type="http://schemas.openxmlformats.org/officeDocument/2006/relationships/settings" Target="settings.xml"/><Relationship Id="rId9" Type="http://schemas.openxmlformats.org/officeDocument/2006/relationships/hyperlink" Target="http://www.canterbury.ac.uk/quality-and-standards-office/periodic-programme-review/periodic-programme-review.aspx" TargetMode="External"/><Relationship Id="rId14" Type="http://schemas.openxmlformats.org/officeDocument/2006/relationships/hyperlink" Target="http://www.qaa.ac.uk/Publications/InformationAndGuidance/Pages/quality-code-B3.aspx" TargetMode="External"/><Relationship Id="rId22" Type="http://schemas.openxmlformats.org/officeDocument/2006/relationships/hyperlink" Target="http://www.qaa.ac.uk/Publications/InformationAndGuidance/Pages/quality-code-B11.aspx" TargetMode="External"/><Relationship Id="rId27" Type="http://schemas.openxmlformats.org/officeDocument/2006/relationships/hyperlink" Target="http://www.canterbury.ac.uk/quality-and-standards-office/quality-manual.aspx" TargetMode="External"/><Relationship Id="rId30" Type="http://schemas.openxmlformats.org/officeDocument/2006/relationships/hyperlink" Target="http://www.canterbury.ac.uk/quality-and-standards-office/academic-frameworks/academic-frameworks.aspx" TargetMode="External"/><Relationship Id="rId35" Type="http://schemas.openxmlformats.org/officeDocument/2006/relationships/hyperlink" Target="http://www.canterbury.ac.uk/study-here/undergraduate/entry-require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C2152-B4AD-4ACC-8CD1-BB2C7A613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510224D3</Template>
  <TotalTime>50</TotalTime>
  <Pages>10</Pages>
  <Words>3966</Words>
  <Characters>22612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Canterbury Christ Church University</Company>
  <LinksUpToDate>false</LinksUpToDate>
  <CharactersWithSpaces>26525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Brown</dc:creator>
  <cp:lastModifiedBy>Collins, Suzanne (suzanne.collins@canterbury.ac.uk)</cp:lastModifiedBy>
  <cp:revision>4</cp:revision>
  <cp:lastPrinted>2015-10-01T13:34:00Z</cp:lastPrinted>
  <dcterms:created xsi:type="dcterms:W3CDTF">2018-03-12T14:02:00Z</dcterms:created>
  <dcterms:modified xsi:type="dcterms:W3CDTF">2018-03-12T14:55:00Z</dcterms:modified>
</cp:coreProperties>
</file>