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BB" w:rsidRPr="00EE651E" w:rsidRDefault="00E455BB" w:rsidP="00E455BB">
      <w:pPr>
        <w:jc w:val="center"/>
        <w:rPr>
          <w:b/>
          <w:color w:val="333399"/>
          <w:sz w:val="22"/>
          <w:szCs w:val="22"/>
        </w:rPr>
      </w:pPr>
      <w:r w:rsidRPr="00EE651E">
        <w:rPr>
          <w:b/>
          <w:color w:val="333399"/>
          <w:sz w:val="22"/>
          <w:szCs w:val="22"/>
        </w:rPr>
        <w:t>SPECIAL REGULATIONS: PGDIP PHYSICIAN ASSOCIATE STUDIES</w:t>
      </w:r>
    </w:p>
    <w:p w:rsidR="00E455BB" w:rsidRPr="00EE651E" w:rsidRDefault="00E455BB" w:rsidP="00E455BB">
      <w:pPr>
        <w:jc w:val="both"/>
        <w:rPr>
          <w:b/>
          <w:color w:val="000080"/>
          <w:sz w:val="22"/>
          <w:szCs w:val="22"/>
        </w:rPr>
      </w:pPr>
    </w:p>
    <w:p w:rsidR="00E455BB" w:rsidRPr="00EE651E" w:rsidRDefault="00E455BB" w:rsidP="00E455BB">
      <w:pPr>
        <w:jc w:val="both"/>
        <w:rPr>
          <w:b/>
          <w:color w:val="000080"/>
          <w:sz w:val="22"/>
          <w:szCs w:val="22"/>
        </w:rPr>
      </w:pPr>
      <w:r w:rsidRPr="00EE651E">
        <w:rPr>
          <w:b/>
          <w:color w:val="000080"/>
          <w:sz w:val="22"/>
          <w:szCs w:val="22"/>
        </w:rPr>
        <w:t>INTRODUCTION</w:t>
      </w:r>
    </w:p>
    <w:p w:rsidR="00E455BB" w:rsidRPr="00EE651E" w:rsidRDefault="00E455BB" w:rsidP="00E455BB">
      <w:pPr>
        <w:jc w:val="both"/>
        <w:rPr>
          <w:b/>
          <w:color w:val="000080"/>
          <w:sz w:val="22"/>
          <w:szCs w:val="22"/>
        </w:rPr>
      </w:pPr>
    </w:p>
    <w:p w:rsidR="00E455BB" w:rsidRPr="00EE651E" w:rsidRDefault="00E455BB" w:rsidP="00E455BB">
      <w:pPr>
        <w:numPr>
          <w:ilvl w:val="0"/>
          <w:numId w:val="2"/>
        </w:numPr>
        <w:jc w:val="both"/>
        <w:rPr>
          <w:sz w:val="22"/>
          <w:szCs w:val="22"/>
        </w:rPr>
      </w:pPr>
      <w:r w:rsidRPr="00EE651E">
        <w:rPr>
          <w:sz w:val="22"/>
          <w:szCs w:val="22"/>
        </w:rPr>
        <w:t>The Special Regulations relate only to the following programme:</w:t>
      </w:r>
    </w:p>
    <w:p w:rsidR="00E455BB" w:rsidRPr="00EE651E" w:rsidRDefault="00E455BB" w:rsidP="00E455BB">
      <w:pPr>
        <w:jc w:val="both"/>
        <w:rPr>
          <w:sz w:val="22"/>
          <w:szCs w:val="22"/>
        </w:rPr>
      </w:pPr>
    </w:p>
    <w:p w:rsidR="00E455BB" w:rsidRPr="00EE651E" w:rsidRDefault="00E455BB" w:rsidP="00E455BB">
      <w:pPr>
        <w:ind w:left="1440"/>
        <w:jc w:val="both"/>
        <w:rPr>
          <w:rFonts w:cs="Humnst777 BT"/>
          <w:sz w:val="22"/>
          <w:szCs w:val="22"/>
        </w:rPr>
      </w:pPr>
      <w:r>
        <w:rPr>
          <w:rFonts w:cs="Humnst777 BT"/>
          <w:sz w:val="22"/>
          <w:szCs w:val="22"/>
        </w:rPr>
        <w:t>PG</w:t>
      </w:r>
      <w:r w:rsidRPr="00EE651E">
        <w:rPr>
          <w:rFonts w:cs="Humnst777 BT"/>
          <w:sz w:val="22"/>
          <w:szCs w:val="22"/>
        </w:rPr>
        <w:t>D</w:t>
      </w:r>
      <w:r>
        <w:rPr>
          <w:rFonts w:cs="Humnst777 BT"/>
          <w:sz w:val="22"/>
          <w:szCs w:val="22"/>
        </w:rPr>
        <w:t xml:space="preserve">ip </w:t>
      </w:r>
      <w:r w:rsidRPr="00EE651E">
        <w:rPr>
          <w:rFonts w:cs="Humnst777 BT"/>
          <w:sz w:val="22"/>
          <w:szCs w:val="22"/>
        </w:rPr>
        <w:t>Physicians Associate Studies</w:t>
      </w:r>
    </w:p>
    <w:p w:rsidR="00E455BB" w:rsidRPr="00EE651E" w:rsidRDefault="00E455BB" w:rsidP="00E455BB">
      <w:pPr>
        <w:pStyle w:val="ListParagraph"/>
        <w:ind w:left="360"/>
        <w:jc w:val="both"/>
        <w:rPr>
          <w:sz w:val="22"/>
          <w:szCs w:val="22"/>
        </w:rPr>
      </w:pPr>
    </w:p>
    <w:p w:rsidR="00E455BB" w:rsidRPr="00EE651E" w:rsidRDefault="00E455BB" w:rsidP="00E455BB">
      <w:pPr>
        <w:jc w:val="both"/>
        <w:rPr>
          <w:rFonts w:cs="Humnst777 BT"/>
          <w:b/>
          <w:color w:val="000080"/>
          <w:sz w:val="22"/>
          <w:szCs w:val="22"/>
          <w:lang w:val="en-US"/>
        </w:rPr>
      </w:pPr>
      <w:r w:rsidRPr="00EE651E">
        <w:rPr>
          <w:rFonts w:cs="Humnst777 BT"/>
          <w:b/>
          <w:color w:val="000080"/>
          <w:sz w:val="22"/>
          <w:szCs w:val="22"/>
          <w:lang w:val="en-US"/>
        </w:rPr>
        <w:t>ENTRY REQUIREMENTS</w:t>
      </w:r>
    </w:p>
    <w:p w:rsidR="00E455BB" w:rsidRPr="00EE651E" w:rsidRDefault="00E455BB" w:rsidP="00E455BB">
      <w:pPr>
        <w:jc w:val="both"/>
        <w:rPr>
          <w:b/>
          <w:color w:val="000080"/>
          <w:sz w:val="22"/>
          <w:szCs w:val="22"/>
        </w:rPr>
      </w:pPr>
    </w:p>
    <w:p w:rsidR="00E455BB" w:rsidRPr="00EE651E" w:rsidRDefault="00E455BB" w:rsidP="00E455BB">
      <w:pPr>
        <w:pStyle w:val="ListParagraph"/>
        <w:numPr>
          <w:ilvl w:val="0"/>
          <w:numId w:val="2"/>
        </w:numPr>
        <w:overflowPunct/>
        <w:autoSpaceDE/>
        <w:autoSpaceDN/>
        <w:adjustRightInd/>
        <w:spacing w:after="160" w:line="259" w:lineRule="auto"/>
        <w:jc w:val="both"/>
        <w:textAlignment w:val="auto"/>
        <w:rPr>
          <w:sz w:val="22"/>
          <w:szCs w:val="22"/>
        </w:rPr>
      </w:pPr>
      <w:r w:rsidRPr="00EE651E">
        <w:rPr>
          <w:sz w:val="22"/>
          <w:szCs w:val="22"/>
        </w:rPr>
        <w:t>The requirements for admissions are those set out in the Regulation and Credit Framework for the Conferment of Awards with the exception of the following. All applicants are required to have:</w:t>
      </w:r>
    </w:p>
    <w:p w:rsidR="00E455BB" w:rsidRPr="00EE651E" w:rsidRDefault="00E455BB" w:rsidP="00E455BB">
      <w:pPr>
        <w:pStyle w:val="ListParagraph"/>
        <w:ind w:left="360"/>
        <w:jc w:val="both"/>
        <w:rPr>
          <w:sz w:val="22"/>
          <w:szCs w:val="22"/>
        </w:rPr>
      </w:pPr>
    </w:p>
    <w:p w:rsidR="00E455BB" w:rsidRPr="00EA45A2" w:rsidRDefault="00E455BB" w:rsidP="00EA45A2">
      <w:pPr>
        <w:pStyle w:val="ListParagraph"/>
        <w:numPr>
          <w:ilvl w:val="0"/>
          <w:numId w:val="4"/>
        </w:numPr>
        <w:spacing w:after="120" w:line="276" w:lineRule="auto"/>
        <w:ind w:left="851" w:hanging="425"/>
        <w:jc w:val="both"/>
        <w:rPr>
          <w:sz w:val="22"/>
          <w:szCs w:val="22"/>
        </w:rPr>
      </w:pPr>
      <w:r w:rsidRPr="00EA45A2">
        <w:rPr>
          <w:sz w:val="22"/>
          <w:szCs w:val="22"/>
        </w:rPr>
        <w:t>a 2:1 in a relevant subject in the life sciences such as biological sciences, biomedical</w:t>
      </w:r>
      <w:r w:rsidR="00EA45A2" w:rsidRPr="00EA45A2">
        <w:rPr>
          <w:sz w:val="22"/>
          <w:szCs w:val="22"/>
        </w:rPr>
        <w:t xml:space="preserve"> s</w:t>
      </w:r>
      <w:r w:rsidRPr="00EA45A2">
        <w:rPr>
          <w:sz w:val="22"/>
          <w:szCs w:val="22"/>
        </w:rPr>
        <w:t>ciences, sports science, biochemistry and pharmacy.  However, other areas may</w:t>
      </w:r>
      <w:r w:rsidR="00EA45A2" w:rsidRPr="00EA45A2">
        <w:rPr>
          <w:sz w:val="22"/>
          <w:szCs w:val="22"/>
        </w:rPr>
        <w:t xml:space="preserve"> </w:t>
      </w:r>
      <w:r w:rsidRPr="00EA45A2">
        <w:rPr>
          <w:sz w:val="22"/>
          <w:szCs w:val="22"/>
        </w:rPr>
        <w:t>be accepted if capability is demonstrated by the applicant at interview.</w:t>
      </w:r>
    </w:p>
    <w:p w:rsidR="00E455BB" w:rsidRPr="00EA45A2" w:rsidRDefault="00EA45A2" w:rsidP="00EA45A2">
      <w:pPr>
        <w:pStyle w:val="ListParagraph"/>
        <w:numPr>
          <w:ilvl w:val="0"/>
          <w:numId w:val="4"/>
        </w:numPr>
        <w:tabs>
          <w:tab w:val="left" w:pos="709"/>
        </w:tabs>
        <w:spacing w:after="120" w:line="276" w:lineRule="auto"/>
        <w:ind w:left="851" w:hanging="425"/>
        <w:jc w:val="both"/>
        <w:rPr>
          <w:sz w:val="22"/>
          <w:szCs w:val="22"/>
        </w:rPr>
      </w:pPr>
      <w:r>
        <w:rPr>
          <w:sz w:val="22"/>
          <w:szCs w:val="22"/>
        </w:rPr>
        <w:t xml:space="preserve">   </w:t>
      </w:r>
      <w:r w:rsidR="00E455BB" w:rsidRPr="00EA45A2">
        <w:rPr>
          <w:sz w:val="22"/>
          <w:szCs w:val="22"/>
        </w:rPr>
        <w:t xml:space="preserve">GCSEs in Maths and English grades A-C.  </w:t>
      </w:r>
    </w:p>
    <w:p w:rsidR="00E455BB" w:rsidRPr="00EA45A2" w:rsidRDefault="00E455BB" w:rsidP="00EA45A2">
      <w:pPr>
        <w:pStyle w:val="ListParagraph"/>
        <w:numPr>
          <w:ilvl w:val="0"/>
          <w:numId w:val="4"/>
        </w:numPr>
        <w:tabs>
          <w:tab w:val="left" w:pos="567"/>
        </w:tabs>
        <w:spacing w:after="120" w:line="276" w:lineRule="auto"/>
        <w:ind w:left="851" w:hanging="425"/>
        <w:jc w:val="both"/>
        <w:rPr>
          <w:sz w:val="22"/>
          <w:szCs w:val="22"/>
        </w:rPr>
      </w:pPr>
      <w:r w:rsidRPr="00EA45A2">
        <w:rPr>
          <w:sz w:val="22"/>
          <w:szCs w:val="22"/>
        </w:rPr>
        <w:t xml:space="preserve">Some experience in caring for people.  This may be through voluntary or paid work such as in a hospital, care home or caring for a relative.     </w:t>
      </w:r>
    </w:p>
    <w:p w:rsidR="00E455BB" w:rsidRPr="00EA45A2" w:rsidRDefault="00E455BB" w:rsidP="00EA45A2">
      <w:pPr>
        <w:pStyle w:val="ListParagraph"/>
        <w:numPr>
          <w:ilvl w:val="0"/>
          <w:numId w:val="4"/>
        </w:numPr>
        <w:tabs>
          <w:tab w:val="left" w:pos="567"/>
        </w:tabs>
        <w:spacing w:after="120" w:line="276" w:lineRule="auto"/>
        <w:ind w:left="851" w:hanging="425"/>
        <w:jc w:val="both"/>
        <w:rPr>
          <w:sz w:val="22"/>
          <w:szCs w:val="22"/>
        </w:rPr>
      </w:pPr>
      <w:r w:rsidRPr="00EA45A2">
        <w:rPr>
          <w:sz w:val="22"/>
          <w:szCs w:val="22"/>
        </w:rPr>
        <w:t xml:space="preserve">Overseas applicants whose first language is not English are required to have an overall IELTS score of 7.5 with a minimum score of 7.0 in each testing area of writing, speaking, reading and listening.  </w:t>
      </w:r>
    </w:p>
    <w:p w:rsidR="00E455BB" w:rsidRPr="00EE651E" w:rsidRDefault="00E455BB" w:rsidP="00E455BB">
      <w:pPr>
        <w:tabs>
          <w:tab w:val="left" w:pos="567"/>
        </w:tabs>
        <w:spacing w:after="120" w:line="276" w:lineRule="auto"/>
        <w:ind w:left="927"/>
        <w:contextualSpacing/>
        <w:jc w:val="both"/>
        <w:rPr>
          <w:sz w:val="22"/>
          <w:szCs w:val="22"/>
        </w:rPr>
      </w:pPr>
    </w:p>
    <w:p w:rsidR="00EA45A2" w:rsidRDefault="00E455BB" w:rsidP="00EA45A2">
      <w:pPr>
        <w:numPr>
          <w:ilvl w:val="0"/>
          <w:numId w:val="2"/>
        </w:numPr>
        <w:tabs>
          <w:tab w:val="left" w:pos="567"/>
        </w:tabs>
        <w:spacing w:after="120" w:line="276" w:lineRule="auto"/>
        <w:jc w:val="both"/>
        <w:rPr>
          <w:sz w:val="22"/>
          <w:szCs w:val="22"/>
        </w:rPr>
      </w:pPr>
      <w:r w:rsidRPr="00EE651E">
        <w:rPr>
          <w:sz w:val="22"/>
          <w:szCs w:val="22"/>
        </w:rPr>
        <w:t>Due to the nature of the placements and the profession, successful students will also be required to have a clear Disclosure and Barring Service report and satisfactory occupational health clearance.</w:t>
      </w:r>
    </w:p>
    <w:p w:rsidR="00EA45A2" w:rsidRPr="00EA45A2" w:rsidRDefault="00EA45A2" w:rsidP="00EA45A2">
      <w:pPr>
        <w:tabs>
          <w:tab w:val="left" w:pos="567"/>
        </w:tabs>
        <w:spacing w:after="120" w:line="276" w:lineRule="auto"/>
        <w:ind w:left="360"/>
        <w:jc w:val="both"/>
        <w:rPr>
          <w:sz w:val="22"/>
          <w:szCs w:val="22"/>
        </w:rPr>
      </w:pPr>
      <w:bookmarkStart w:id="0" w:name="_GoBack"/>
      <w:bookmarkEnd w:id="0"/>
    </w:p>
    <w:p w:rsidR="00E455BB" w:rsidRPr="00EE651E" w:rsidRDefault="00E455BB" w:rsidP="00E455BB">
      <w:pPr>
        <w:tabs>
          <w:tab w:val="left" w:pos="567"/>
        </w:tabs>
        <w:spacing w:after="120" w:line="276" w:lineRule="auto"/>
        <w:ind w:left="360"/>
        <w:jc w:val="both"/>
        <w:rPr>
          <w:sz w:val="22"/>
          <w:szCs w:val="22"/>
        </w:rPr>
      </w:pPr>
      <w:r w:rsidRPr="00EE651E">
        <w:rPr>
          <w:rFonts w:eastAsia="Humnst777 BT"/>
          <w:b/>
          <w:bCs/>
          <w:color w:val="000099"/>
          <w:sz w:val="22"/>
          <w:szCs w:val="22"/>
          <w:lang w:eastAsia="ar-SA"/>
        </w:rPr>
        <w:t>ASSESSMENT</w:t>
      </w:r>
    </w:p>
    <w:p w:rsidR="00E455BB" w:rsidRPr="00EE651E" w:rsidRDefault="00E455BB" w:rsidP="00E455BB">
      <w:pPr>
        <w:numPr>
          <w:ilvl w:val="0"/>
          <w:numId w:val="2"/>
        </w:numPr>
        <w:tabs>
          <w:tab w:val="left" w:pos="567"/>
        </w:tabs>
        <w:spacing w:after="120" w:line="276" w:lineRule="auto"/>
        <w:jc w:val="both"/>
        <w:rPr>
          <w:sz w:val="22"/>
          <w:szCs w:val="22"/>
        </w:rPr>
      </w:pPr>
      <w:r w:rsidRPr="00EE651E">
        <w:rPr>
          <w:rFonts w:eastAsia="Humnst777 BT"/>
          <w:sz w:val="22"/>
          <w:szCs w:val="22"/>
          <w:lang w:eastAsia="ar-SA"/>
        </w:rPr>
        <w:t>All assessments must be passed.  This includes all individual elements of theoretical assessment and those involved in the assessment of practice.</w:t>
      </w:r>
    </w:p>
    <w:p w:rsidR="00E455BB" w:rsidRPr="00EE651E" w:rsidRDefault="00E455BB" w:rsidP="00E455BB">
      <w:pPr>
        <w:tabs>
          <w:tab w:val="left" w:pos="567"/>
        </w:tabs>
        <w:spacing w:after="120" w:line="276" w:lineRule="auto"/>
        <w:ind w:left="360"/>
        <w:jc w:val="both"/>
        <w:rPr>
          <w:sz w:val="22"/>
          <w:szCs w:val="22"/>
        </w:rPr>
      </w:pPr>
    </w:p>
    <w:p w:rsidR="00E455BB" w:rsidRPr="00EE651E" w:rsidRDefault="00E455BB" w:rsidP="00E455BB">
      <w:pPr>
        <w:tabs>
          <w:tab w:val="left" w:pos="567"/>
        </w:tabs>
        <w:spacing w:after="120" w:line="276" w:lineRule="auto"/>
        <w:ind w:left="360"/>
        <w:jc w:val="both"/>
        <w:rPr>
          <w:sz w:val="22"/>
          <w:szCs w:val="22"/>
        </w:rPr>
      </w:pPr>
      <w:r w:rsidRPr="00EE651E">
        <w:rPr>
          <w:rFonts w:eastAsia="Humnst777 BT"/>
          <w:b/>
          <w:bCs/>
          <w:color w:val="000099"/>
          <w:sz w:val="22"/>
          <w:szCs w:val="22"/>
          <w:lang w:eastAsia="ar-SA"/>
        </w:rPr>
        <w:t>RE</w:t>
      </w:r>
      <w:r w:rsidR="00EA45A2">
        <w:rPr>
          <w:rFonts w:eastAsia="Humnst777 BT"/>
          <w:b/>
          <w:bCs/>
          <w:color w:val="000099"/>
          <w:sz w:val="22"/>
          <w:szCs w:val="22"/>
          <w:lang w:eastAsia="ar-SA"/>
        </w:rPr>
        <w:t xml:space="preserve">ASSESSMENT </w:t>
      </w:r>
      <w:r w:rsidRPr="00EE651E">
        <w:rPr>
          <w:rFonts w:eastAsia="Humnst777 BT"/>
          <w:b/>
          <w:bCs/>
          <w:color w:val="000099"/>
          <w:sz w:val="22"/>
          <w:szCs w:val="22"/>
          <w:lang w:eastAsia="ar-SA"/>
        </w:rPr>
        <w:t>RESTRICTIONS</w:t>
      </w:r>
    </w:p>
    <w:p w:rsidR="00E455BB" w:rsidRPr="00EE651E" w:rsidRDefault="00E455BB" w:rsidP="00E455BB">
      <w:pPr>
        <w:numPr>
          <w:ilvl w:val="0"/>
          <w:numId w:val="2"/>
        </w:numPr>
        <w:tabs>
          <w:tab w:val="left" w:pos="567"/>
        </w:tabs>
        <w:spacing w:after="120" w:line="276" w:lineRule="auto"/>
        <w:jc w:val="both"/>
        <w:rPr>
          <w:sz w:val="22"/>
          <w:szCs w:val="22"/>
        </w:rPr>
      </w:pPr>
      <w:r w:rsidRPr="00EE651E">
        <w:rPr>
          <w:rFonts w:eastAsia="Humnst777 BT"/>
          <w:bCs/>
          <w:sz w:val="22"/>
          <w:szCs w:val="22"/>
          <w:lang w:eastAsia="ar-SA"/>
        </w:rPr>
        <w:t xml:space="preserve">A student may </w:t>
      </w:r>
      <w:r w:rsidR="00EA45A2">
        <w:rPr>
          <w:rFonts w:eastAsia="Humnst777 BT"/>
          <w:bCs/>
          <w:sz w:val="22"/>
          <w:szCs w:val="22"/>
          <w:lang w:eastAsia="ar-SA"/>
        </w:rPr>
        <w:t>be reassessed in</w:t>
      </w:r>
      <w:r w:rsidRPr="00EE651E">
        <w:rPr>
          <w:rFonts w:eastAsia="Humnst777 BT"/>
          <w:bCs/>
          <w:sz w:val="22"/>
          <w:szCs w:val="22"/>
          <w:lang w:eastAsia="ar-SA"/>
        </w:rPr>
        <w:t xml:space="preserve"> a practice assessment on one occasion only for each assessment of practice.</w:t>
      </w:r>
    </w:p>
    <w:p w:rsidR="00E455BB" w:rsidRPr="00EA45A2" w:rsidRDefault="00E455BB" w:rsidP="00E455BB">
      <w:pPr>
        <w:numPr>
          <w:ilvl w:val="0"/>
          <w:numId w:val="2"/>
        </w:numPr>
        <w:tabs>
          <w:tab w:val="left" w:pos="567"/>
        </w:tabs>
        <w:spacing w:after="120" w:line="276" w:lineRule="auto"/>
        <w:jc w:val="both"/>
        <w:rPr>
          <w:sz w:val="22"/>
          <w:szCs w:val="22"/>
        </w:rPr>
      </w:pPr>
      <w:r w:rsidRPr="00EE651E">
        <w:rPr>
          <w:rFonts w:eastAsia="Humnst777 BT" w:cs="Arial"/>
          <w:sz w:val="22"/>
          <w:szCs w:val="22"/>
          <w:lang w:eastAsia="ar-SA"/>
        </w:rPr>
        <w:t xml:space="preserve">A student who fails a practice assessment after all module </w:t>
      </w:r>
      <w:r w:rsidR="00EA45A2">
        <w:rPr>
          <w:rFonts w:eastAsia="Humnst777 BT" w:cs="Arial"/>
          <w:sz w:val="22"/>
          <w:szCs w:val="22"/>
          <w:lang w:eastAsia="ar-SA"/>
        </w:rPr>
        <w:t>reassessment</w:t>
      </w:r>
      <w:r w:rsidRPr="00EE651E">
        <w:rPr>
          <w:rFonts w:eastAsia="Humnst777 BT" w:cs="Arial"/>
          <w:sz w:val="22"/>
          <w:szCs w:val="22"/>
          <w:lang w:eastAsia="ar-SA"/>
        </w:rPr>
        <w:t xml:space="preserve"> opportunities have been exhausted will not be allowed to repeat the module and will be required to withdraw from the programme.</w:t>
      </w:r>
    </w:p>
    <w:p w:rsidR="00EA45A2" w:rsidRPr="00EE651E" w:rsidRDefault="00EA45A2" w:rsidP="00EA45A2">
      <w:pPr>
        <w:tabs>
          <w:tab w:val="left" w:pos="567"/>
        </w:tabs>
        <w:spacing w:after="120" w:line="276" w:lineRule="auto"/>
        <w:ind w:left="360"/>
        <w:jc w:val="both"/>
        <w:rPr>
          <w:sz w:val="22"/>
          <w:szCs w:val="22"/>
        </w:rPr>
      </w:pPr>
    </w:p>
    <w:p w:rsidR="00E455BB" w:rsidRPr="00EE651E" w:rsidRDefault="00E455BB" w:rsidP="00E455BB">
      <w:pPr>
        <w:tabs>
          <w:tab w:val="left" w:pos="567"/>
        </w:tabs>
        <w:spacing w:after="120" w:line="276" w:lineRule="auto"/>
        <w:ind w:left="360"/>
        <w:jc w:val="both"/>
        <w:rPr>
          <w:sz w:val="22"/>
          <w:szCs w:val="22"/>
        </w:rPr>
      </w:pPr>
      <w:r w:rsidRPr="00EE651E">
        <w:rPr>
          <w:rFonts w:eastAsia="Humnst777 BT"/>
          <w:b/>
          <w:bCs/>
          <w:color w:val="000099"/>
          <w:sz w:val="22"/>
          <w:szCs w:val="22"/>
          <w:lang w:eastAsia="ar-SA"/>
        </w:rPr>
        <w:t>PROGRESSION</w:t>
      </w:r>
    </w:p>
    <w:p w:rsidR="00E455BB" w:rsidRPr="00EE651E" w:rsidRDefault="00E455BB" w:rsidP="00E455BB">
      <w:pPr>
        <w:numPr>
          <w:ilvl w:val="0"/>
          <w:numId w:val="2"/>
        </w:numPr>
        <w:tabs>
          <w:tab w:val="left" w:pos="567"/>
        </w:tabs>
        <w:spacing w:after="120" w:line="276" w:lineRule="auto"/>
        <w:jc w:val="both"/>
        <w:rPr>
          <w:sz w:val="22"/>
          <w:szCs w:val="22"/>
        </w:rPr>
      </w:pPr>
      <w:r w:rsidRPr="00EE651E">
        <w:rPr>
          <w:rFonts w:eastAsia="Humnst777 BT"/>
          <w:sz w:val="22"/>
          <w:szCs w:val="22"/>
          <w:lang w:eastAsia="ar-SA"/>
        </w:rPr>
        <w:t>A student may only progress from one year or one stage of the programme to the next on successful completion of all individual elements of the assessment of theory.</w:t>
      </w:r>
    </w:p>
    <w:p w:rsidR="00E455BB" w:rsidRPr="00EE651E" w:rsidRDefault="00E455BB" w:rsidP="00E455BB">
      <w:pPr>
        <w:numPr>
          <w:ilvl w:val="0"/>
          <w:numId w:val="2"/>
        </w:numPr>
        <w:tabs>
          <w:tab w:val="left" w:pos="567"/>
        </w:tabs>
        <w:spacing w:after="120" w:line="276" w:lineRule="auto"/>
        <w:jc w:val="both"/>
        <w:rPr>
          <w:sz w:val="22"/>
          <w:szCs w:val="22"/>
        </w:rPr>
      </w:pPr>
      <w:r w:rsidRPr="00EE651E">
        <w:rPr>
          <w:sz w:val="22"/>
          <w:szCs w:val="22"/>
        </w:rPr>
        <w:lastRenderedPageBreak/>
        <w:t>Students are expected to successfully complete all assessment of practice competencies from year one before starting year two.  However, in exceptional circumstances, if a student has not had the opportunity to demonstrate achievement of all practice competencies by the end of year one, these may be carried forward to year two.</w:t>
      </w:r>
    </w:p>
    <w:p w:rsidR="00E455BB" w:rsidRPr="00EE651E" w:rsidRDefault="00E455BB" w:rsidP="00E455BB">
      <w:pPr>
        <w:numPr>
          <w:ilvl w:val="0"/>
          <w:numId w:val="2"/>
        </w:numPr>
        <w:tabs>
          <w:tab w:val="left" w:pos="567"/>
        </w:tabs>
        <w:spacing w:after="120" w:line="276" w:lineRule="auto"/>
        <w:jc w:val="both"/>
        <w:rPr>
          <w:sz w:val="22"/>
          <w:szCs w:val="22"/>
        </w:rPr>
      </w:pPr>
      <w:r w:rsidRPr="00EE651E">
        <w:rPr>
          <w:sz w:val="22"/>
          <w:szCs w:val="22"/>
        </w:rPr>
        <w:t>All assessment of practice competencies must be successfully completed by the end of the programme.</w:t>
      </w:r>
    </w:p>
    <w:p w:rsidR="00E455BB" w:rsidRPr="00EA45A2" w:rsidRDefault="00E455BB" w:rsidP="00E455BB">
      <w:pPr>
        <w:jc w:val="both"/>
        <w:rPr>
          <w:sz w:val="22"/>
          <w:szCs w:val="22"/>
        </w:rPr>
      </w:pPr>
    </w:p>
    <w:p w:rsidR="00EA45A2" w:rsidRPr="00EA45A2" w:rsidRDefault="00EA45A2" w:rsidP="00EA45A2">
      <w:pPr>
        <w:tabs>
          <w:tab w:val="left" w:pos="567"/>
        </w:tabs>
        <w:spacing w:after="120" w:line="276" w:lineRule="auto"/>
        <w:jc w:val="both"/>
        <w:rPr>
          <w:sz w:val="22"/>
          <w:szCs w:val="22"/>
        </w:rPr>
      </w:pPr>
      <w:r w:rsidRPr="00EA45A2">
        <w:rPr>
          <w:sz w:val="22"/>
          <w:szCs w:val="22"/>
        </w:rPr>
        <w:t>Approved</w:t>
      </w:r>
      <w:r>
        <w:rPr>
          <w:sz w:val="22"/>
          <w:szCs w:val="22"/>
        </w:rPr>
        <w:t xml:space="preserve"> by Academic Board, 18/12/2015.</w:t>
      </w:r>
    </w:p>
    <w:p w:rsidR="00E455BB" w:rsidRDefault="00E455BB" w:rsidP="00E455BB">
      <w:pPr>
        <w:pStyle w:val="NoSpacing"/>
        <w:jc w:val="center"/>
        <w:rPr>
          <w:rFonts w:ascii="Humnst777 BT" w:hAnsi="Humnst777 BT"/>
          <w:b/>
        </w:rPr>
      </w:pPr>
    </w:p>
    <w:p w:rsidR="00E455BB" w:rsidRPr="003C6CCC" w:rsidRDefault="00E455BB" w:rsidP="00E455BB">
      <w:pPr>
        <w:pStyle w:val="NoSpacing"/>
        <w:jc w:val="both"/>
        <w:rPr>
          <w:rFonts w:ascii="Humnst777 BT" w:hAnsi="Humnst777 BT"/>
        </w:rPr>
      </w:pPr>
    </w:p>
    <w:p w:rsidR="00E455BB" w:rsidRDefault="00E455BB" w:rsidP="00E455BB">
      <w:pPr>
        <w:pStyle w:val="NoSpacing"/>
        <w:rPr>
          <w:rFonts w:ascii="Humnst777 BT" w:hAnsi="Humnst777 BT"/>
        </w:rPr>
      </w:pPr>
    </w:p>
    <w:p w:rsidR="008775C0" w:rsidRDefault="00EA45A2"/>
    <w:sectPr w:rsidR="008775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A2" w:rsidRDefault="00EA45A2" w:rsidP="00EA45A2">
      <w:r>
        <w:separator/>
      </w:r>
    </w:p>
  </w:endnote>
  <w:endnote w:type="continuationSeparator" w:id="0">
    <w:p w:rsidR="00EA45A2" w:rsidRDefault="00EA45A2" w:rsidP="00E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592742"/>
      <w:docPartObj>
        <w:docPartGallery w:val="Page Numbers (Bottom of Page)"/>
        <w:docPartUnique/>
      </w:docPartObj>
    </w:sdtPr>
    <w:sdtEndPr>
      <w:rPr>
        <w:noProof/>
      </w:rPr>
    </w:sdtEndPr>
    <w:sdtContent>
      <w:p w:rsidR="00EA45A2" w:rsidRPr="00EA45A2" w:rsidRDefault="00EA45A2">
        <w:pPr>
          <w:pStyle w:val="Footer"/>
          <w:jc w:val="center"/>
        </w:pPr>
        <w:r w:rsidRPr="00EA45A2">
          <w:fldChar w:fldCharType="begin"/>
        </w:r>
        <w:r w:rsidRPr="00EA45A2">
          <w:instrText xml:space="preserve"> PAGE   \* MERGEFORMAT </w:instrText>
        </w:r>
        <w:r w:rsidRPr="00EA45A2">
          <w:fldChar w:fldCharType="separate"/>
        </w:r>
        <w:r>
          <w:rPr>
            <w:noProof/>
          </w:rPr>
          <w:t>1</w:t>
        </w:r>
        <w:r w:rsidRPr="00EA45A2">
          <w:rPr>
            <w:noProof/>
          </w:rPr>
          <w:fldChar w:fldCharType="end"/>
        </w:r>
      </w:p>
    </w:sdtContent>
  </w:sdt>
  <w:p w:rsidR="00EA45A2" w:rsidRDefault="00EA4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A2" w:rsidRDefault="00EA45A2" w:rsidP="00EA45A2">
      <w:r>
        <w:separator/>
      </w:r>
    </w:p>
  </w:footnote>
  <w:footnote w:type="continuationSeparator" w:id="0">
    <w:p w:rsidR="00EA45A2" w:rsidRDefault="00EA45A2" w:rsidP="00EA4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027BC"/>
    <w:multiLevelType w:val="hybridMultilevel"/>
    <w:tmpl w:val="24E6CE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B32DA"/>
    <w:multiLevelType w:val="hybridMultilevel"/>
    <w:tmpl w:val="46E42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866C89"/>
    <w:multiLevelType w:val="hybridMultilevel"/>
    <w:tmpl w:val="DD1627BA"/>
    <w:lvl w:ilvl="0" w:tplc="FFFFFFFF">
      <w:start w:val="1"/>
      <w:numFmt w:val="decimal"/>
      <w:lvlText w:val="%1"/>
      <w:lvlJc w:val="lef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6DE65900"/>
    <w:multiLevelType w:val="hybridMultilevel"/>
    <w:tmpl w:val="BA7EE9EE"/>
    <w:lvl w:ilvl="0" w:tplc="73588DFE">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BB"/>
    <w:rsid w:val="00526631"/>
    <w:rsid w:val="0092150E"/>
    <w:rsid w:val="00E455BB"/>
    <w:rsid w:val="00EA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14F7B-6EB5-452D-B5FA-ADE110A2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BB"/>
    <w:pPr>
      <w:overflowPunct w:val="0"/>
      <w:autoSpaceDE w:val="0"/>
      <w:autoSpaceDN w:val="0"/>
      <w:adjustRightInd w:val="0"/>
      <w:spacing w:after="0" w:line="240" w:lineRule="auto"/>
      <w:textAlignment w:val="baseline"/>
    </w:pPr>
    <w:rPr>
      <w:rFonts w:ascii="Humnst777 BT" w:eastAsia="Times New Roman" w:hAnsi="Humnst777 BT"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55BB"/>
    <w:pPr>
      <w:ind w:left="720"/>
      <w:contextualSpacing/>
    </w:pPr>
  </w:style>
  <w:style w:type="paragraph" w:styleId="NoSpacing">
    <w:name w:val="No Spacing"/>
    <w:uiPriority w:val="1"/>
    <w:qFormat/>
    <w:rsid w:val="00E455BB"/>
    <w:pPr>
      <w:spacing w:after="0" w:line="240" w:lineRule="auto"/>
    </w:pPr>
  </w:style>
  <w:style w:type="character" w:customStyle="1" w:styleId="ListParagraphChar">
    <w:name w:val="List Paragraph Char"/>
    <w:link w:val="ListParagraph"/>
    <w:uiPriority w:val="34"/>
    <w:locked/>
    <w:rsid w:val="00E455BB"/>
    <w:rPr>
      <w:rFonts w:ascii="Humnst777 BT" w:eastAsia="Times New Roman" w:hAnsi="Humnst777 BT" w:cs="Times New Roman"/>
      <w:sz w:val="20"/>
      <w:szCs w:val="20"/>
      <w:lang w:eastAsia="en-GB"/>
    </w:rPr>
  </w:style>
  <w:style w:type="paragraph" w:styleId="Header">
    <w:name w:val="header"/>
    <w:basedOn w:val="Normal"/>
    <w:link w:val="HeaderChar"/>
    <w:uiPriority w:val="99"/>
    <w:unhideWhenUsed/>
    <w:rsid w:val="00EA45A2"/>
    <w:pPr>
      <w:tabs>
        <w:tab w:val="center" w:pos="4513"/>
        <w:tab w:val="right" w:pos="9026"/>
      </w:tabs>
    </w:pPr>
  </w:style>
  <w:style w:type="character" w:customStyle="1" w:styleId="HeaderChar">
    <w:name w:val="Header Char"/>
    <w:basedOn w:val="DefaultParagraphFont"/>
    <w:link w:val="Header"/>
    <w:uiPriority w:val="99"/>
    <w:rsid w:val="00EA45A2"/>
    <w:rPr>
      <w:rFonts w:ascii="Humnst777 BT" w:eastAsia="Times New Roman" w:hAnsi="Humnst777 BT" w:cs="Times New Roman"/>
      <w:sz w:val="20"/>
      <w:szCs w:val="20"/>
      <w:lang w:eastAsia="en-GB"/>
    </w:rPr>
  </w:style>
  <w:style w:type="paragraph" w:styleId="Footer">
    <w:name w:val="footer"/>
    <w:basedOn w:val="Normal"/>
    <w:link w:val="FooterChar"/>
    <w:uiPriority w:val="99"/>
    <w:unhideWhenUsed/>
    <w:rsid w:val="00EA45A2"/>
    <w:pPr>
      <w:tabs>
        <w:tab w:val="center" w:pos="4513"/>
        <w:tab w:val="right" w:pos="9026"/>
      </w:tabs>
    </w:pPr>
  </w:style>
  <w:style w:type="character" w:customStyle="1" w:styleId="FooterChar">
    <w:name w:val="Footer Char"/>
    <w:basedOn w:val="DefaultParagraphFont"/>
    <w:link w:val="Footer"/>
    <w:uiPriority w:val="99"/>
    <w:rsid w:val="00EA45A2"/>
    <w:rPr>
      <w:rFonts w:ascii="Humnst777 BT" w:eastAsia="Times New Roman" w:hAnsi="Humnst777 BT"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1D6843A5</Template>
  <TotalTime>7</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ls452</dc:creator>
  <cp:lastModifiedBy>Collins, Suzanne (suzanne.collins@canterbury.ac.uk)</cp:lastModifiedBy>
  <cp:revision>2</cp:revision>
  <dcterms:created xsi:type="dcterms:W3CDTF">2016-08-26T12:28:00Z</dcterms:created>
  <dcterms:modified xsi:type="dcterms:W3CDTF">2016-08-31T13:43:00Z</dcterms:modified>
</cp:coreProperties>
</file>