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67A7" w:rsidRDefault="005A0D8D">
      <w:pPr>
        <w:spacing w:after="240" w:line="276" w:lineRule="auto"/>
        <w:jc w:val="center"/>
        <w:rPr>
          <w:rFonts w:ascii="Humnst777 BT" w:eastAsia="Times New Roman" w:hAnsi="Humnst777 BT" w:cs="Humnst777 BT"/>
          <w:b/>
          <w:color w:val="000080"/>
          <w:lang w:val="en-US"/>
        </w:rPr>
      </w:pPr>
      <w:r>
        <w:rPr>
          <w:rFonts w:ascii="Humnst777 BT" w:eastAsia="Times New Roman" w:hAnsi="Humnst777 BT" w:cs="Humnst777 BT"/>
          <w:b/>
          <w:color w:val="333399"/>
          <w:lang w:val="en-US"/>
        </w:rPr>
        <w:t xml:space="preserve">SPECIAL REGULATIONS: </w:t>
      </w:r>
      <w:r w:rsidR="009D2777">
        <w:rPr>
          <w:rFonts w:ascii="Humnst777 BT" w:eastAsia="Times New Roman" w:hAnsi="Humnst777 BT" w:cs="Humnst777 BT"/>
          <w:b/>
          <w:color w:val="333399"/>
          <w:lang w:val="en-US"/>
        </w:rPr>
        <w:t>BSc (HONS) NURSING STUDIES FOR INTERNATIONAL STUDENTS</w:t>
      </w:r>
    </w:p>
    <w:p w:rsidR="000767A7" w:rsidRDefault="005A0D8D">
      <w:pPr>
        <w:spacing w:before="240" w:after="240" w:line="276" w:lineRule="auto"/>
        <w:rPr>
          <w:rFonts w:ascii="Humnst777 BT" w:eastAsia="Times New Roman" w:hAnsi="Humnst777 BT" w:cs="Humnst777 BT"/>
          <w:b/>
          <w:color w:val="000080"/>
          <w:lang w:val="en-US"/>
        </w:rPr>
      </w:pPr>
      <w:r>
        <w:rPr>
          <w:rFonts w:ascii="Humnst777 BT" w:eastAsia="Times New Roman" w:hAnsi="Humnst777 BT" w:cs="Humnst777 BT"/>
          <w:b/>
          <w:color w:val="000080"/>
          <w:lang w:val="en-US"/>
        </w:rPr>
        <w:t>INTRODUCTION</w:t>
      </w:r>
    </w:p>
    <w:p w:rsidR="000767A7" w:rsidRDefault="005A0D8D">
      <w:pPr>
        <w:numPr>
          <w:ilvl w:val="0"/>
          <w:numId w:val="3"/>
        </w:numPr>
        <w:spacing w:after="0" w:line="240" w:lineRule="auto"/>
        <w:jc w:val="both"/>
        <w:rPr>
          <w:rFonts w:ascii="Humnst777 BT" w:eastAsia="Times New Roman" w:hAnsi="Humnst777 BT" w:cs="Humnst777 BT"/>
          <w:lang w:val="en-US"/>
        </w:rPr>
      </w:pPr>
      <w:r>
        <w:rPr>
          <w:rFonts w:ascii="Humnst777 BT" w:eastAsia="Times New Roman" w:hAnsi="Humnst777 BT" w:cs="Humnst777 BT"/>
          <w:lang w:val="en-US"/>
        </w:rPr>
        <w:t>The Special Regulations relate only to the following programme:</w:t>
      </w:r>
    </w:p>
    <w:p w:rsidR="000767A7" w:rsidRDefault="000767A7">
      <w:pPr>
        <w:spacing w:after="0" w:line="240" w:lineRule="auto"/>
        <w:jc w:val="both"/>
        <w:rPr>
          <w:rFonts w:ascii="Humnst777 BT" w:eastAsia="Times New Roman" w:hAnsi="Humnst777 BT" w:cs="Humnst777 BT"/>
          <w:lang w:val="en-US"/>
        </w:rPr>
      </w:pPr>
    </w:p>
    <w:p w:rsidR="000767A7" w:rsidRDefault="009D2777">
      <w:pPr>
        <w:spacing w:after="0" w:line="240" w:lineRule="auto"/>
        <w:ind w:left="1134"/>
        <w:jc w:val="both"/>
        <w:rPr>
          <w:rFonts w:ascii="Humnst777 BT" w:eastAsia="Times New Roman" w:hAnsi="Humnst777 BT" w:cs="Humnst777 BT"/>
          <w:lang w:val="en-US"/>
        </w:rPr>
      </w:pPr>
      <w:r>
        <w:rPr>
          <w:rFonts w:ascii="Humnst777 BT" w:eastAsia="Times New Roman" w:hAnsi="Humnst777 BT" w:cs="Humnst777 BT"/>
          <w:lang w:val="en-US"/>
        </w:rPr>
        <w:t>BSc (Hons) Nursing Studies for International Students</w:t>
      </w:r>
    </w:p>
    <w:p w:rsidR="000767A7" w:rsidRDefault="005A0D8D">
      <w:pPr>
        <w:spacing w:before="240" w:after="240" w:line="276" w:lineRule="auto"/>
        <w:jc w:val="both"/>
        <w:rPr>
          <w:rFonts w:ascii="Humnst777 BT" w:eastAsia="Times New Roman" w:hAnsi="Humnst777 BT" w:cs="Humnst777 BT"/>
          <w:b/>
          <w:color w:val="000080"/>
          <w:lang w:val="en-US"/>
        </w:rPr>
      </w:pPr>
      <w:r>
        <w:rPr>
          <w:rFonts w:ascii="Humnst777 BT" w:eastAsia="Times New Roman" w:hAnsi="Humnst777 BT" w:cs="Humnst777 BT"/>
          <w:b/>
          <w:color w:val="000080"/>
          <w:lang w:val="en-US"/>
        </w:rPr>
        <w:t>ENTRY REQUIREMENTS</w:t>
      </w:r>
    </w:p>
    <w:p w:rsidR="000767A7" w:rsidRDefault="005A0D8D">
      <w:pPr>
        <w:numPr>
          <w:ilvl w:val="0"/>
          <w:numId w:val="3"/>
        </w:numPr>
        <w:suppressAutoHyphens/>
        <w:adjustRightInd w:val="0"/>
        <w:spacing w:after="0" w:line="240" w:lineRule="auto"/>
        <w:jc w:val="both"/>
        <w:rPr>
          <w:rFonts w:ascii="Humnst777 BT" w:eastAsia="Times New Roman" w:hAnsi="Humnst777 BT" w:cs="Humnst777 BT"/>
          <w:lang w:val="en-US"/>
        </w:rPr>
      </w:pPr>
      <w:r>
        <w:rPr>
          <w:rFonts w:ascii="Humnst777 BT" w:eastAsia="Times New Roman" w:hAnsi="Humnst777 BT" w:cs="Humnst777 BT"/>
          <w:lang w:val="en-US"/>
        </w:rPr>
        <w:t>The requirements for admissions are those set out in the Regulation and Credit Framework for the Conferment of Awards with the exception of the following.</w:t>
      </w:r>
    </w:p>
    <w:p w:rsidR="000767A7" w:rsidRDefault="000767A7">
      <w:pPr>
        <w:suppressAutoHyphens/>
        <w:spacing w:after="0" w:line="240" w:lineRule="auto"/>
        <w:ind w:left="360"/>
        <w:jc w:val="both"/>
        <w:rPr>
          <w:rFonts w:ascii="Humnst777 BT" w:eastAsia="Times New Roman" w:hAnsi="Humnst777 BT" w:cs="Humnst777 BT"/>
          <w:lang w:val="en-US"/>
        </w:rPr>
      </w:pPr>
    </w:p>
    <w:p w:rsidR="000767A7" w:rsidRDefault="005A0D8D">
      <w:pPr>
        <w:numPr>
          <w:ilvl w:val="0"/>
          <w:numId w:val="3"/>
        </w:numPr>
        <w:tabs>
          <w:tab w:val="clear" w:pos="360"/>
        </w:tabs>
        <w:suppressAutoHyphens/>
        <w:spacing w:after="120" w:line="276" w:lineRule="auto"/>
        <w:ind w:left="426" w:hanging="426"/>
        <w:jc w:val="both"/>
        <w:rPr>
          <w:rFonts w:ascii="Humnst777 BT" w:eastAsia="Times New Roman" w:hAnsi="Humnst777 BT" w:cs="Humnst777 BT"/>
          <w:lang w:val="en-US"/>
        </w:rPr>
      </w:pPr>
      <w:r>
        <w:rPr>
          <w:rFonts w:ascii="Humnst777 BT" w:eastAsia="Times New Roman" w:hAnsi="Humnst777 BT" w:cs="Humnst777 BT"/>
          <w:lang w:val="en-US"/>
        </w:rPr>
        <w:t xml:space="preserve">In addition to the University’s standards entry requirements for undergraduate awards applicants must </w:t>
      </w:r>
      <w:r w:rsidR="009D2777">
        <w:rPr>
          <w:rFonts w:ascii="Humnst777 BT" w:eastAsia="Times New Roman" w:hAnsi="Humnst777 BT" w:cs="Humnst777 BT"/>
          <w:lang w:val="en-US"/>
        </w:rPr>
        <w:t>have the following</w:t>
      </w:r>
      <w:r>
        <w:rPr>
          <w:rFonts w:ascii="Humnst777 BT" w:eastAsia="Times New Roman" w:hAnsi="Humnst777 BT" w:cs="Humnst777 BT"/>
          <w:lang w:val="en-US"/>
        </w:rPr>
        <w:t>:</w:t>
      </w:r>
    </w:p>
    <w:p w:rsidR="00D21273" w:rsidRPr="00D21273" w:rsidRDefault="00D21273" w:rsidP="00D21273">
      <w:pPr>
        <w:numPr>
          <w:ilvl w:val="1"/>
          <w:numId w:val="3"/>
        </w:numPr>
        <w:tabs>
          <w:tab w:val="left" w:pos="360"/>
        </w:tabs>
        <w:suppressAutoHyphens/>
        <w:adjustRightInd w:val="0"/>
        <w:spacing w:after="120" w:line="276" w:lineRule="auto"/>
        <w:jc w:val="both"/>
        <w:rPr>
          <w:rFonts w:ascii="Humnst777 BT" w:eastAsia="Times New Roman" w:hAnsi="Humnst777 BT" w:cs="Humnst777 BT"/>
          <w:lang w:val="en-US"/>
        </w:rPr>
      </w:pPr>
      <w:r w:rsidRPr="00D21273">
        <w:rPr>
          <w:rFonts w:ascii="Humnst777 BT" w:eastAsia="Times New Roman" w:hAnsi="Humnst777 BT" w:cs="Humnst777 BT"/>
          <w:lang w:val="en-US"/>
        </w:rPr>
        <w:t xml:space="preserve">Applicants will be a qualified nurse with professional registration in their own country with a Diploma HE, (or equivalent qualification). All original documents will be checked by the university’s International Office and cross referenced with NARIC, the designated United Kingdom National Agency for the Recognition and Comparison of international qualifications and skills, prior to commencement  of the Programme. </w:t>
      </w:r>
    </w:p>
    <w:p w:rsidR="00D21273" w:rsidRPr="00D21273" w:rsidRDefault="00D21273" w:rsidP="00D21273">
      <w:pPr>
        <w:numPr>
          <w:ilvl w:val="1"/>
          <w:numId w:val="3"/>
        </w:numPr>
        <w:tabs>
          <w:tab w:val="left" w:pos="360"/>
        </w:tabs>
        <w:suppressAutoHyphens/>
        <w:adjustRightInd w:val="0"/>
        <w:spacing w:after="120" w:line="276" w:lineRule="auto"/>
        <w:jc w:val="both"/>
        <w:rPr>
          <w:rFonts w:ascii="Humnst777 BT" w:eastAsia="Times New Roman" w:hAnsi="Humnst777 BT" w:cs="Humnst777 BT"/>
          <w:lang w:val="en-US"/>
        </w:rPr>
      </w:pPr>
      <w:r w:rsidRPr="00D21273">
        <w:rPr>
          <w:rFonts w:ascii="Humnst777 BT" w:eastAsia="Times New Roman" w:hAnsi="Humnst777 BT" w:cs="Humnst777 BT"/>
          <w:lang w:val="en-US"/>
        </w:rPr>
        <w:t>IELTS score of 6.5 or more across all four areas to indicate the required level of competence of both written and spoken English.</w:t>
      </w:r>
    </w:p>
    <w:p w:rsidR="00D21273" w:rsidRPr="00D21273" w:rsidRDefault="00D21273" w:rsidP="00D21273">
      <w:pPr>
        <w:numPr>
          <w:ilvl w:val="1"/>
          <w:numId w:val="3"/>
        </w:numPr>
        <w:tabs>
          <w:tab w:val="left" w:pos="360"/>
        </w:tabs>
        <w:suppressAutoHyphens/>
        <w:adjustRightInd w:val="0"/>
        <w:spacing w:after="120" w:line="276" w:lineRule="auto"/>
        <w:jc w:val="both"/>
        <w:rPr>
          <w:rFonts w:ascii="Humnst777 BT" w:eastAsia="Times New Roman" w:hAnsi="Humnst777 BT" w:cs="Humnst777 BT"/>
          <w:lang w:val="en-US"/>
        </w:rPr>
      </w:pPr>
      <w:r w:rsidRPr="00D21273">
        <w:rPr>
          <w:rFonts w:ascii="Humnst777 BT" w:eastAsia="Times New Roman" w:hAnsi="Humnst777 BT" w:cs="Humnst777 BT"/>
          <w:lang w:val="en-US"/>
        </w:rPr>
        <w:t>Satisfactory visa (Tier 4) application to the UK Border Agency (UKBA)</w:t>
      </w:r>
    </w:p>
    <w:p w:rsidR="00D21273" w:rsidRPr="00D21273" w:rsidRDefault="00D21273" w:rsidP="00D21273">
      <w:pPr>
        <w:numPr>
          <w:ilvl w:val="1"/>
          <w:numId w:val="3"/>
        </w:numPr>
        <w:tabs>
          <w:tab w:val="left" w:pos="360"/>
        </w:tabs>
        <w:suppressAutoHyphens/>
        <w:adjustRightInd w:val="0"/>
        <w:spacing w:after="120" w:line="276" w:lineRule="auto"/>
        <w:jc w:val="both"/>
        <w:rPr>
          <w:rFonts w:ascii="Humnst777 BT" w:eastAsia="Times New Roman" w:hAnsi="Humnst777 BT" w:cs="Humnst777 BT"/>
          <w:lang w:val="en-US"/>
        </w:rPr>
      </w:pPr>
      <w:r w:rsidRPr="00D21273">
        <w:rPr>
          <w:rFonts w:ascii="Humnst777 BT" w:eastAsia="Times New Roman" w:hAnsi="Humnst777 BT" w:cs="Humnst777 BT"/>
          <w:lang w:val="en-US"/>
        </w:rPr>
        <w:t xml:space="preserve">Able to satisfy institutional requirements with respect to attendance - this will be monitored by the Programme Director and the teaching team. Attendance information will be fed back to the International Office at CCCU. </w:t>
      </w:r>
    </w:p>
    <w:p w:rsidR="009D2777" w:rsidRDefault="009D2777">
      <w:pPr>
        <w:spacing w:after="0" w:line="276" w:lineRule="auto"/>
        <w:jc w:val="both"/>
        <w:rPr>
          <w:rFonts w:ascii="Humnst777 BT" w:eastAsia="Times New Roman" w:hAnsi="Humnst777 BT" w:cs="Humnst777 BT"/>
          <w:lang w:val="en-US"/>
        </w:rPr>
      </w:pPr>
    </w:p>
    <w:p w:rsidR="009D2777" w:rsidRPr="009D2777" w:rsidRDefault="009D2777" w:rsidP="009D2777">
      <w:pPr>
        <w:overflowPunct w:val="0"/>
        <w:autoSpaceDE w:val="0"/>
        <w:autoSpaceDN w:val="0"/>
        <w:adjustRightInd w:val="0"/>
        <w:spacing w:after="0" w:line="240" w:lineRule="auto"/>
        <w:jc w:val="both"/>
        <w:textAlignment w:val="baseline"/>
        <w:rPr>
          <w:rFonts w:ascii="Humnst777 BT" w:eastAsia="Times New Roman" w:hAnsi="Humnst777 BT" w:cs="Times New Roman"/>
          <w:b/>
          <w:color w:val="000080"/>
          <w:lang w:eastAsia="en-GB"/>
        </w:rPr>
      </w:pPr>
      <w:r w:rsidRPr="009D2777">
        <w:rPr>
          <w:rFonts w:ascii="Humnst777 BT" w:eastAsia="Times New Roman" w:hAnsi="Humnst777 BT" w:cs="Times New Roman"/>
          <w:b/>
          <w:color w:val="000080"/>
          <w:lang w:eastAsia="en-GB"/>
        </w:rPr>
        <w:t>CLASSIFICATION</w:t>
      </w:r>
    </w:p>
    <w:p w:rsidR="009D2777" w:rsidRPr="009D2777" w:rsidRDefault="009D2777" w:rsidP="009D2777">
      <w:pPr>
        <w:overflowPunct w:val="0"/>
        <w:autoSpaceDE w:val="0"/>
        <w:autoSpaceDN w:val="0"/>
        <w:adjustRightInd w:val="0"/>
        <w:spacing w:after="0" w:line="240" w:lineRule="auto"/>
        <w:jc w:val="both"/>
        <w:textAlignment w:val="baseline"/>
        <w:rPr>
          <w:rFonts w:ascii="Humnst777 BT" w:eastAsia="Times New Roman" w:hAnsi="Humnst777 BT" w:cs="Times New Roman"/>
          <w:lang w:eastAsia="en-GB"/>
        </w:rPr>
      </w:pPr>
    </w:p>
    <w:p w:rsidR="009D2777" w:rsidRPr="009D2777" w:rsidRDefault="000F6BC5" w:rsidP="000F6BC5">
      <w:pPr>
        <w:numPr>
          <w:ilvl w:val="0"/>
          <w:numId w:val="3"/>
        </w:numPr>
        <w:suppressAutoHyphens/>
        <w:overflowPunct w:val="0"/>
        <w:autoSpaceDE w:val="0"/>
        <w:autoSpaceDN w:val="0"/>
        <w:adjustRightInd w:val="0"/>
        <w:spacing w:after="0" w:line="240" w:lineRule="auto"/>
        <w:jc w:val="both"/>
        <w:textAlignment w:val="baseline"/>
        <w:rPr>
          <w:rFonts w:ascii="Humnst777 BT" w:eastAsia="Times New Roman" w:hAnsi="Humnst777 BT" w:cs="Times New Roman"/>
          <w:lang w:eastAsia="en-GB"/>
        </w:rPr>
      </w:pPr>
      <w:r w:rsidRPr="000F6BC5">
        <w:rPr>
          <w:rFonts w:ascii="Humnst777 BT" w:eastAsia="Times New Roman" w:hAnsi="Humnst777 BT" w:cs="Times New Roman"/>
          <w:lang w:eastAsia="en-GB"/>
        </w:rPr>
        <w:t>Degree classifications will be calculated using the bes</w:t>
      </w:r>
      <w:r>
        <w:rPr>
          <w:rFonts w:ascii="Humnst777 BT" w:eastAsia="Times New Roman" w:hAnsi="Humnst777 BT" w:cs="Times New Roman"/>
          <w:lang w:eastAsia="en-GB"/>
        </w:rPr>
        <w:t>t 100 credits gained at level 6</w:t>
      </w:r>
      <w:r w:rsidRPr="000F6BC5">
        <w:rPr>
          <w:rFonts w:ascii="Humnst777 BT" w:eastAsia="Times New Roman" w:hAnsi="Humnst777 BT" w:cs="Times New Roman"/>
          <w:lang w:eastAsia="en-GB"/>
        </w:rPr>
        <w:t xml:space="preserve"> </w:t>
      </w:r>
      <w:r w:rsidR="009D2777" w:rsidRPr="009D2777">
        <w:rPr>
          <w:rFonts w:ascii="Humnst777 BT" w:eastAsia="Times New Roman" w:hAnsi="Humnst777 BT" w:cs="Times New Roman"/>
          <w:lang w:eastAsia="en-GB"/>
        </w:rPr>
        <w:t>and rounded to the nearest integer, as follows:</w:t>
      </w:r>
    </w:p>
    <w:p w:rsidR="009D2777" w:rsidRPr="009D2777" w:rsidRDefault="009D2777" w:rsidP="009D2777">
      <w:pPr>
        <w:suppressAutoHyphens/>
        <w:overflowPunct w:val="0"/>
        <w:autoSpaceDE w:val="0"/>
        <w:autoSpaceDN w:val="0"/>
        <w:adjustRightInd w:val="0"/>
        <w:spacing w:after="0" w:line="240" w:lineRule="auto"/>
        <w:ind w:left="360"/>
        <w:jc w:val="both"/>
        <w:textAlignment w:val="baseline"/>
        <w:rPr>
          <w:rFonts w:ascii="Humnst777 BT" w:eastAsia="Times New Roman" w:hAnsi="Humnst777 BT" w:cs="Times New Roman"/>
          <w:lang w:eastAsia="en-GB"/>
        </w:rPr>
      </w:pPr>
    </w:p>
    <w:p w:rsidR="009D2777" w:rsidRPr="009D2777" w:rsidRDefault="009D2777" w:rsidP="009D2777">
      <w:pPr>
        <w:numPr>
          <w:ilvl w:val="1"/>
          <w:numId w:val="3"/>
        </w:numPr>
        <w:suppressAutoHyphens/>
        <w:overflowPunct w:val="0"/>
        <w:autoSpaceDE w:val="0"/>
        <w:autoSpaceDN w:val="0"/>
        <w:adjustRightInd w:val="0"/>
        <w:spacing w:after="0" w:line="240" w:lineRule="auto"/>
        <w:jc w:val="both"/>
        <w:textAlignment w:val="baseline"/>
        <w:rPr>
          <w:rFonts w:ascii="Humnst777 BT" w:eastAsia="Times New Roman" w:hAnsi="Humnst777 BT" w:cs="Times New Roman"/>
          <w:lang w:eastAsia="en-GB"/>
        </w:rPr>
      </w:pPr>
      <w:r w:rsidRPr="009D2777">
        <w:rPr>
          <w:rFonts w:ascii="Humnst777 BT" w:eastAsia="Times New Roman" w:hAnsi="Humnst777 BT" w:cs="Times New Roman"/>
          <w:lang w:eastAsia="en-GB"/>
        </w:rPr>
        <w:t>where the final mark is 70% and above, the award of First Class Honours will be made;</w:t>
      </w:r>
    </w:p>
    <w:p w:rsidR="009D2777" w:rsidRPr="009D2777" w:rsidRDefault="009D2777" w:rsidP="009D2777">
      <w:p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lang w:eastAsia="en-GB"/>
        </w:rPr>
      </w:pPr>
    </w:p>
    <w:p w:rsidR="009D2777" w:rsidRPr="009D2777" w:rsidRDefault="009D2777" w:rsidP="009D2777">
      <w:pPr>
        <w:numPr>
          <w:ilvl w:val="1"/>
          <w:numId w:val="3"/>
        </w:numPr>
        <w:suppressAutoHyphens/>
        <w:overflowPunct w:val="0"/>
        <w:autoSpaceDE w:val="0"/>
        <w:autoSpaceDN w:val="0"/>
        <w:adjustRightInd w:val="0"/>
        <w:spacing w:after="0" w:line="240" w:lineRule="auto"/>
        <w:jc w:val="both"/>
        <w:textAlignment w:val="baseline"/>
        <w:rPr>
          <w:rFonts w:ascii="Humnst777 BT" w:eastAsia="Times New Roman" w:hAnsi="Humnst777 BT" w:cs="Times New Roman"/>
          <w:lang w:eastAsia="en-GB"/>
        </w:rPr>
      </w:pPr>
      <w:r w:rsidRPr="009D2777">
        <w:rPr>
          <w:rFonts w:ascii="Humnst777 BT" w:eastAsia="Times New Roman" w:hAnsi="Humnst777 BT" w:cs="Times New Roman"/>
          <w:lang w:eastAsia="en-GB"/>
        </w:rPr>
        <w:t>where the final mark is 60% - 69%, the award of Upper Second Class Honours will be made;</w:t>
      </w:r>
    </w:p>
    <w:p w:rsidR="009D2777" w:rsidRPr="009D2777" w:rsidRDefault="009D2777" w:rsidP="009D2777">
      <w:p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lang w:eastAsia="en-GB"/>
        </w:rPr>
      </w:pPr>
    </w:p>
    <w:p w:rsidR="009D2777" w:rsidRPr="009D2777" w:rsidRDefault="009D2777" w:rsidP="009D2777">
      <w:pPr>
        <w:numPr>
          <w:ilvl w:val="1"/>
          <w:numId w:val="3"/>
        </w:numPr>
        <w:suppressAutoHyphens/>
        <w:overflowPunct w:val="0"/>
        <w:autoSpaceDE w:val="0"/>
        <w:autoSpaceDN w:val="0"/>
        <w:adjustRightInd w:val="0"/>
        <w:spacing w:after="0" w:line="240" w:lineRule="auto"/>
        <w:jc w:val="both"/>
        <w:textAlignment w:val="baseline"/>
        <w:rPr>
          <w:rFonts w:ascii="Humnst777 BT" w:eastAsia="Times New Roman" w:hAnsi="Humnst777 BT" w:cs="Times New Roman"/>
          <w:lang w:eastAsia="en-GB"/>
        </w:rPr>
      </w:pPr>
      <w:r w:rsidRPr="009D2777">
        <w:rPr>
          <w:rFonts w:ascii="Humnst777 BT" w:eastAsia="Times New Roman" w:hAnsi="Humnst777 BT" w:cs="Times New Roman"/>
          <w:lang w:eastAsia="en-GB"/>
        </w:rPr>
        <w:t>where the final mark is 50% - 59% the award of Lower Second Class Honours will be made;</w:t>
      </w:r>
    </w:p>
    <w:p w:rsidR="009D2777" w:rsidRPr="009D2777" w:rsidRDefault="009D2777" w:rsidP="009D2777">
      <w:pPr>
        <w:suppressAutoHyphens/>
        <w:overflowPunct w:val="0"/>
        <w:autoSpaceDE w:val="0"/>
        <w:autoSpaceDN w:val="0"/>
        <w:adjustRightInd w:val="0"/>
        <w:spacing w:after="0" w:line="240" w:lineRule="auto"/>
        <w:ind w:left="1080"/>
        <w:jc w:val="both"/>
        <w:textAlignment w:val="baseline"/>
        <w:rPr>
          <w:rFonts w:ascii="Humnst777 BT" w:eastAsia="Times New Roman" w:hAnsi="Humnst777 BT" w:cs="Times New Roman"/>
          <w:lang w:eastAsia="en-GB"/>
        </w:rPr>
      </w:pPr>
    </w:p>
    <w:p w:rsidR="009D2777" w:rsidRPr="009D2777" w:rsidRDefault="009D2777" w:rsidP="009D2777">
      <w:pPr>
        <w:numPr>
          <w:ilvl w:val="1"/>
          <w:numId w:val="3"/>
        </w:numPr>
        <w:suppressAutoHyphens/>
        <w:overflowPunct w:val="0"/>
        <w:autoSpaceDE w:val="0"/>
        <w:autoSpaceDN w:val="0"/>
        <w:adjustRightInd w:val="0"/>
        <w:spacing w:after="0" w:line="240" w:lineRule="auto"/>
        <w:jc w:val="both"/>
        <w:textAlignment w:val="baseline"/>
        <w:rPr>
          <w:rFonts w:ascii="Humnst777 BT" w:eastAsia="Times New Roman" w:hAnsi="Humnst777 BT" w:cs="Times New Roman"/>
          <w:lang w:eastAsia="en-GB"/>
        </w:rPr>
      </w:pPr>
      <w:r w:rsidRPr="009D2777">
        <w:rPr>
          <w:rFonts w:ascii="Humnst777 BT" w:eastAsia="Times New Roman" w:hAnsi="Humnst777 BT" w:cs="Times New Roman"/>
          <w:lang w:eastAsia="en-GB"/>
        </w:rPr>
        <w:t>where the final mark is 40% - 49% the award of Third Class Honours will be made.</w:t>
      </w:r>
    </w:p>
    <w:p w:rsidR="009D2777" w:rsidRPr="009D2777" w:rsidRDefault="009D2777">
      <w:pPr>
        <w:spacing w:after="0" w:line="276" w:lineRule="auto"/>
        <w:jc w:val="both"/>
        <w:rPr>
          <w:rFonts w:ascii="Humnst777 BT" w:eastAsia="Times New Roman" w:hAnsi="Humnst777 BT" w:cs="Humnst777 BT"/>
        </w:rPr>
      </w:pPr>
    </w:p>
    <w:p w:rsidR="000F6BC5" w:rsidRDefault="000F6BC5">
      <w:pPr>
        <w:spacing w:after="0" w:line="276" w:lineRule="auto"/>
        <w:jc w:val="both"/>
        <w:rPr>
          <w:rFonts w:ascii="Humnst777 BT" w:eastAsia="Times New Roman" w:hAnsi="Humnst777 BT" w:cs="Humnst777 BT"/>
          <w:lang w:val="en-US"/>
        </w:rPr>
      </w:pPr>
    </w:p>
    <w:p w:rsidR="00C16C80" w:rsidRDefault="005A0D8D" w:rsidP="00C16C80">
      <w:pPr>
        <w:spacing w:after="240" w:line="276" w:lineRule="auto"/>
        <w:rPr>
          <w:rFonts w:ascii="Humnst777 BT" w:eastAsia="Times New Roman" w:hAnsi="Humnst777 BT" w:cs="Humnst777 BT"/>
          <w:lang w:val="en-US"/>
        </w:rPr>
      </w:pPr>
      <w:bookmarkStart w:id="0" w:name="_GoBack"/>
      <w:r>
        <w:rPr>
          <w:rFonts w:ascii="Humnst777 BT" w:eastAsia="Times New Roman" w:hAnsi="Humnst777 BT" w:cs="Humnst777 BT"/>
          <w:lang w:val="en-US"/>
        </w:rPr>
        <w:t>Approved by Academic Board,</w:t>
      </w:r>
      <w:r w:rsidR="00C16C80">
        <w:rPr>
          <w:rFonts w:ascii="Humnst777 BT" w:eastAsia="Times New Roman" w:hAnsi="Humnst777 BT" w:cs="Humnst777 BT"/>
          <w:lang w:val="en-US"/>
        </w:rPr>
        <w:t xml:space="preserve"> 23/08/2016.</w:t>
      </w:r>
    </w:p>
    <w:bookmarkEnd w:id="0"/>
    <w:p w:rsidR="000767A7" w:rsidRDefault="005A0D8D">
      <w:pPr>
        <w:spacing w:after="240" w:line="276" w:lineRule="auto"/>
        <w:jc w:val="center"/>
        <w:rPr>
          <w:rFonts w:ascii="Humnst777 BT" w:eastAsia="Times New Roman" w:hAnsi="Humnst777 BT" w:cs="Humnst777 BT"/>
          <w:b/>
          <w:color w:val="000080"/>
          <w:lang w:val="en-US"/>
        </w:rPr>
      </w:pPr>
      <w:r>
        <w:rPr>
          <w:rFonts w:ascii="Humnst777 BT" w:eastAsia="Times New Roman" w:hAnsi="Humnst777 BT" w:cs="Humnst777 BT"/>
          <w:b/>
          <w:color w:val="333399"/>
          <w:lang w:val="en-US"/>
        </w:rPr>
        <w:t xml:space="preserve">SPECIAL REGULATIONS: </w:t>
      </w:r>
      <w:r w:rsidR="009D2777">
        <w:rPr>
          <w:rFonts w:ascii="Humnst777 BT" w:eastAsia="Times New Roman" w:hAnsi="Humnst777 BT" w:cs="Humnst777 BT"/>
          <w:b/>
          <w:color w:val="333399"/>
          <w:lang w:val="en-US"/>
        </w:rPr>
        <w:t>BSc (HONS) NURSING STUDIES FOR INTERNATIONAL STUDENTS</w:t>
      </w:r>
    </w:p>
    <w:p w:rsidR="000767A7" w:rsidRDefault="005A0D8D">
      <w:pPr>
        <w:suppressAutoHyphens/>
        <w:spacing w:before="240" w:after="240" w:line="276" w:lineRule="auto"/>
        <w:jc w:val="center"/>
        <w:rPr>
          <w:rFonts w:ascii="Humnst777 BT" w:eastAsia="Times New Roman" w:hAnsi="Humnst777 BT" w:cs="Humnst777 BT"/>
          <w:b/>
          <w:bCs/>
          <w:color w:val="000099"/>
          <w:lang w:val="en-US"/>
        </w:rPr>
      </w:pPr>
      <w:r>
        <w:rPr>
          <w:rFonts w:ascii="Humnst777 BT" w:eastAsia="Times New Roman" w:hAnsi="Humnst777 BT" w:cs="Humnst777 BT"/>
          <w:b/>
          <w:bCs/>
          <w:color w:val="000099"/>
          <w:lang w:val="en-US"/>
        </w:rPr>
        <w:t>SCHEDULE ONE</w:t>
      </w:r>
    </w:p>
    <w:p w:rsidR="000767A7" w:rsidRDefault="005A0D8D">
      <w:pPr>
        <w:suppressAutoHyphens/>
        <w:spacing w:before="240" w:after="240" w:line="276" w:lineRule="auto"/>
        <w:jc w:val="center"/>
        <w:rPr>
          <w:rFonts w:ascii="Humnst777 BT" w:eastAsia="Times New Roman" w:hAnsi="Humnst777 BT" w:cs="Humnst777 BT"/>
          <w:b/>
          <w:bCs/>
          <w:color w:val="000099"/>
          <w:lang w:val="en-US"/>
        </w:rPr>
      </w:pPr>
      <w:r>
        <w:rPr>
          <w:rFonts w:ascii="Humnst777 BT" w:eastAsia="Times New Roman" w:hAnsi="Humnst777 BT" w:cs="Humnst777 BT"/>
          <w:b/>
          <w:bCs/>
          <w:color w:val="000099"/>
          <w:lang w:val="en-US"/>
        </w:rPr>
        <w:t>SUMMARY OF AMENDMENTS</w:t>
      </w:r>
    </w:p>
    <w:tbl>
      <w:tblPr>
        <w:tblW w:w="932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91"/>
        <w:gridCol w:w="2268"/>
        <w:gridCol w:w="2268"/>
      </w:tblGrid>
      <w:tr w:rsidR="000767A7" w:rsidTr="00A9084C">
        <w:tc>
          <w:tcPr>
            <w:tcW w:w="4791" w:type="dxa"/>
            <w:shd w:val="clear" w:color="auto" w:fill="F2F2F2"/>
          </w:tcPr>
          <w:p w:rsidR="000767A7" w:rsidRDefault="005A0D8D">
            <w:pPr>
              <w:suppressAutoHyphens/>
              <w:spacing w:after="0" w:line="240" w:lineRule="auto"/>
              <w:jc w:val="center"/>
              <w:rPr>
                <w:rFonts w:ascii="Humnst777 BT" w:eastAsia="Times New Roman" w:hAnsi="Humnst777 BT" w:cs="Humnst777 BT"/>
                <w:b/>
                <w:bCs/>
                <w:lang w:val="en-US"/>
              </w:rPr>
            </w:pPr>
            <w:r>
              <w:rPr>
                <w:rFonts w:ascii="Humnst777 BT" w:eastAsia="Times New Roman" w:hAnsi="Humnst777 BT" w:cs="Humnst777 BT"/>
                <w:b/>
                <w:bCs/>
                <w:lang w:val="en-US"/>
              </w:rPr>
              <w:t>Amendment</w:t>
            </w:r>
          </w:p>
        </w:tc>
        <w:tc>
          <w:tcPr>
            <w:tcW w:w="2268" w:type="dxa"/>
            <w:shd w:val="clear" w:color="auto" w:fill="F2F2F2"/>
          </w:tcPr>
          <w:p w:rsidR="000767A7" w:rsidRDefault="005A0D8D">
            <w:pPr>
              <w:suppressAutoHyphens/>
              <w:spacing w:after="0" w:line="240" w:lineRule="auto"/>
              <w:jc w:val="center"/>
              <w:rPr>
                <w:rFonts w:ascii="Humnst777 BT" w:eastAsia="Times New Roman" w:hAnsi="Humnst777 BT" w:cs="Humnst777 BT"/>
                <w:b/>
                <w:bCs/>
                <w:lang w:val="en-US"/>
              </w:rPr>
            </w:pPr>
            <w:r>
              <w:rPr>
                <w:rFonts w:ascii="Humnst777 BT" w:eastAsia="Times New Roman" w:hAnsi="Humnst777 BT" w:cs="Humnst777 BT"/>
                <w:b/>
                <w:bCs/>
                <w:lang w:val="en-US"/>
              </w:rPr>
              <w:t>Date Approved</w:t>
            </w:r>
          </w:p>
        </w:tc>
        <w:tc>
          <w:tcPr>
            <w:tcW w:w="2268" w:type="dxa"/>
            <w:shd w:val="clear" w:color="auto" w:fill="F2F2F2"/>
          </w:tcPr>
          <w:p w:rsidR="000767A7" w:rsidRDefault="005A0D8D">
            <w:pPr>
              <w:suppressAutoHyphens/>
              <w:spacing w:after="0" w:line="240" w:lineRule="auto"/>
              <w:jc w:val="center"/>
              <w:rPr>
                <w:rFonts w:ascii="Humnst777 BT" w:eastAsia="Times New Roman" w:hAnsi="Humnst777 BT" w:cs="Humnst777 BT"/>
                <w:b/>
                <w:bCs/>
                <w:lang w:val="en-US"/>
              </w:rPr>
            </w:pPr>
            <w:r>
              <w:rPr>
                <w:rFonts w:ascii="Humnst777 BT" w:eastAsia="Times New Roman" w:hAnsi="Humnst777 BT" w:cs="Humnst777 BT"/>
                <w:b/>
                <w:bCs/>
                <w:lang w:val="en-US"/>
              </w:rPr>
              <w:t xml:space="preserve">Effective From </w:t>
            </w:r>
          </w:p>
        </w:tc>
      </w:tr>
      <w:tr w:rsidR="000767A7" w:rsidTr="00A9084C">
        <w:tc>
          <w:tcPr>
            <w:tcW w:w="4791" w:type="dxa"/>
          </w:tcPr>
          <w:p w:rsidR="000767A7" w:rsidRDefault="000767A7">
            <w:pPr>
              <w:suppressAutoHyphens/>
              <w:spacing w:after="0" w:line="240" w:lineRule="auto"/>
              <w:rPr>
                <w:rFonts w:ascii="Humnst777 BT" w:eastAsia="Times New Roman" w:hAnsi="Humnst777 BT" w:cs="Humnst777 BT"/>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r>
      <w:tr w:rsidR="000767A7" w:rsidTr="00A9084C">
        <w:tc>
          <w:tcPr>
            <w:tcW w:w="4791" w:type="dxa"/>
          </w:tcPr>
          <w:p w:rsidR="000767A7" w:rsidRDefault="000767A7">
            <w:pPr>
              <w:suppressAutoHyphens/>
              <w:spacing w:after="0" w:line="240" w:lineRule="auto"/>
              <w:rPr>
                <w:rFonts w:ascii="Humnst777 BT" w:eastAsia="Times New Roman" w:hAnsi="Humnst777 BT" w:cs="Humnst777 BT"/>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r>
      <w:tr w:rsidR="000767A7" w:rsidTr="00A9084C">
        <w:tc>
          <w:tcPr>
            <w:tcW w:w="4791" w:type="dxa"/>
          </w:tcPr>
          <w:p w:rsidR="000767A7" w:rsidRDefault="000767A7">
            <w:pPr>
              <w:suppressAutoHyphens/>
              <w:spacing w:after="0" w:line="240" w:lineRule="auto"/>
              <w:rPr>
                <w:rFonts w:ascii="Humnst777 BT" w:eastAsia="Times New Roman" w:hAnsi="Humnst777 BT" w:cs="Humnst777 BT"/>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r>
      <w:tr w:rsidR="000767A7" w:rsidTr="00A9084C">
        <w:tc>
          <w:tcPr>
            <w:tcW w:w="4791" w:type="dxa"/>
          </w:tcPr>
          <w:p w:rsidR="000767A7" w:rsidRDefault="000767A7">
            <w:pPr>
              <w:suppressAutoHyphens/>
              <w:spacing w:after="0" w:line="240" w:lineRule="auto"/>
              <w:rPr>
                <w:rFonts w:ascii="Humnst777 BT" w:eastAsia="Times New Roman" w:hAnsi="Humnst777 BT" w:cs="Humnst777 BT"/>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r>
      <w:tr w:rsidR="000767A7" w:rsidTr="00A9084C">
        <w:tc>
          <w:tcPr>
            <w:tcW w:w="4791" w:type="dxa"/>
          </w:tcPr>
          <w:p w:rsidR="000767A7" w:rsidRDefault="000767A7">
            <w:pPr>
              <w:suppressAutoHyphens/>
              <w:spacing w:after="0" w:line="240" w:lineRule="auto"/>
              <w:rPr>
                <w:rFonts w:ascii="Humnst777 BT" w:eastAsia="Times New Roman" w:hAnsi="Humnst777 BT" w:cs="Humnst777 BT"/>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r>
      <w:tr w:rsidR="000767A7" w:rsidTr="00A9084C">
        <w:tc>
          <w:tcPr>
            <w:tcW w:w="4791" w:type="dxa"/>
          </w:tcPr>
          <w:p w:rsidR="000767A7" w:rsidRDefault="000767A7">
            <w:pPr>
              <w:suppressAutoHyphens/>
              <w:spacing w:after="0" w:line="240" w:lineRule="auto"/>
              <w:rPr>
                <w:rFonts w:ascii="Humnst777 BT" w:eastAsia="Times New Roman" w:hAnsi="Humnst777 BT" w:cs="Humnst777 BT"/>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c>
          <w:tcPr>
            <w:tcW w:w="2268" w:type="dxa"/>
          </w:tcPr>
          <w:p w:rsidR="000767A7" w:rsidRDefault="000767A7">
            <w:pPr>
              <w:suppressAutoHyphens/>
              <w:spacing w:after="0" w:line="240" w:lineRule="auto"/>
              <w:rPr>
                <w:rFonts w:ascii="Humnst777 BT" w:eastAsia="Times New Roman" w:hAnsi="Humnst777 BT" w:cs="Humnst777 BT"/>
                <w:bCs/>
                <w:lang w:val="en-US"/>
              </w:rPr>
            </w:pPr>
          </w:p>
        </w:tc>
      </w:tr>
    </w:tbl>
    <w:p w:rsidR="000767A7" w:rsidRDefault="000767A7">
      <w:pPr>
        <w:spacing w:after="0" w:line="276" w:lineRule="auto"/>
        <w:jc w:val="both"/>
        <w:rPr>
          <w:rFonts w:ascii="Times New Roman" w:eastAsia="Times New Roman" w:hAnsi="Times New Roman" w:cs="Times New Roman"/>
          <w:sz w:val="24"/>
          <w:lang w:val="en-US"/>
        </w:rPr>
      </w:pPr>
    </w:p>
    <w:p w:rsidR="000767A7" w:rsidRDefault="000767A7"/>
    <w:sectPr w:rsidR="000767A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umnst777 BT">
    <w:panose1 w:val="020B0603030504020204"/>
    <w:charset w:val="00"/>
    <w:family w:val="swiss"/>
    <w:pitch w:val="variable"/>
    <w:sig w:usb0="00000087" w:usb1="00000000" w:usb2="00000000" w:usb3="00000000" w:csb0="0000001B"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10F09"/>
    <w:multiLevelType w:val="multilevel"/>
    <w:tmpl w:val="FC60814C"/>
    <w:lvl w:ilvl="0">
      <w:start w:val="2"/>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BB26AF8"/>
    <w:multiLevelType w:val="multilevel"/>
    <w:tmpl w:val="E45AF71E"/>
    <w:lvl w:ilvl="0">
      <w:start w:val="1"/>
      <w:numFmt w:val="lowerLetter"/>
      <w:lvlText w:val="(%1)"/>
      <w:lvlJc w:val="left"/>
      <w:pPr>
        <w:ind w:left="720" w:hanging="360"/>
      </w:pPr>
    </w:lvl>
    <w:lvl w:ilvl="1">
      <w:start w:val="1"/>
      <w:numFmt w:val="lowerRoman"/>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AB66757"/>
    <w:multiLevelType w:val="multilevel"/>
    <w:tmpl w:val="99799373"/>
    <w:lvl w:ilvl="0">
      <w:start w:val="1"/>
      <w:numFmt w:val="decimal"/>
      <w:lvlText w:val="%1"/>
      <w:lvlJc w:val="left"/>
      <w:pPr>
        <w:tabs>
          <w:tab w:val="num" w:pos="360"/>
        </w:tabs>
        <w:ind w:left="360" w:hanging="360"/>
      </w:pPr>
      <w:rPr>
        <w:b w:val="0"/>
        <w:i w:val="0"/>
        <w:color w:val="auto"/>
        <w:sz w:val="22"/>
        <w:szCs w:val="22"/>
      </w:rPr>
    </w:lvl>
    <w:lvl w:ilvl="1">
      <w:start w:val="1"/>
      <w:numFmt w:val="lowerLetter"/>
      <w:lvlText w:val="(%2)"/>
      <w:lvlJc w:val="left"/>
      <w:pPr>
        <w:tabs>
          <w:tab w:val="num" w:pos="1080"/>
        </w:tabs>
        <w:ind w:left="1080" w:hanging="360"/>
      </w:pPr>
      <w:rPr>
        <w:rFonts w:ascii="Humnst777 BT" w:eastAsia="Humnst777 BT" w:hAnsi="Humnst777 BT" w:cs="Times New Roman"/>
        <w:b w:val="0"/>
        <w:i w:val="0"/>
        <w:color w:val="auto"/>
      </w:rPr>
    </w:lvl>
    <w:lvl w:ilvl="2">
      <w:start w:val="1"/>
      <w:numFmt w:val="lowerLetter"/>
      <w:lvlText w:val="(%3)"/>
      <w:lvlJc w:val="left"/>
      <w:pPr>
        <w:tabs>
          <w:tab w:val="num" w:pos="1980"/>
        </w:tabs>
        <w:ind w:left="1980" w:hanging="360"/>
      </w:pPr>
      <w:rPr>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 w15:restartNumberingAfterBreak="0">
    <w:nsid w:val="1C0E6F3F"/>
    <w:multiLevelType w:val="multilevel"/>
    <w:tmpl w:val="1B6A1FE6"/>
    <w:lvl w:ilvl="0">
      <w:start w:val="1"/>
      <w:numFmt w:val="decimal"/>
      <w:lvlText w:val="%1"/>
      <w:lvlJc w:val="left"/>
      <w:pPr>
        <w:tabs>
          <w:tab w:val="num" w:pos="360"/>
        </w:tabs>
        <w:ind w:left="360" w:hanging="360"/>
      </w:pPr>
      <w:rPr>
        <w:color w:val="auto"/>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15:restartNumberingAfterBreak="0">
    <w:nsid w:val="3AF50A6C"/>
    <w:multiLevelType w:val="multilevel"/>
    <w:tmpl w:val="E72E73C2"/>
    <w:lvl w:ilvl="0">
      <w:start w:val="1"/>
      <w:numFmt w:val="bullet"/>
      <w:lvlText w:val=""/>
      <w:lvlJc w:val="left"/>
      <w:pPr>
        <w:ind w:left="720"/>
      </w:pPr>
      <w:rPr>
        <w:rFonts w:ascii="Symbol" w:eastAsia="Symbol" w:hAnsi="Symbol" w:cs="Symbol"/>
      </w:rPr>
    </w:lvl>
    <w:lvl w:ilvl="1">
      <w:start w:val="1"/>
      <w:numFmt w:val="bullet"/>
      <w:lvlText w:val="o"/>
      <w:lvlJc w:val="left"/>
      <w:pPr>
        <w:ind w:left="1440"/>
      </w:pPr>
      <w:rPr>
        <w:rFonts w:ascii="Courier New" w:eastAsia="Courier New" w:hAnsi="Courier New" w:cs="Courier New"/>
      </w:rPr>
    </w:lvl>
    <w:lvl w:ilvl="2">
      <w:start w:val="1"/>
      <w:numFmt w:val="bullet"/>
      <w:lvlText w:val=""/>
      <w:lvlJc w:val="left"/>
      <w:pPr>
        <w:ind w:left="2160"/>
      </w:pPr>
      <w:rPr>
        <w:rFonts w:ascii="Wingdings" w:eastAsia="Wingdings" w:hAnsi="Wingdings" w:cs="Wingdings"/>
      </w:rPr>
    </w:lvl>
    <w:lvl w:ilvl="3">
      <w:start w:val="1"/>
      <w:numFmt w:val="bullet"/>
      <w:lvlText w:val=""/>
      <w:lvlJc w:val="left"/>
      <w:pPr>
        <w:ind w:left="2880"/>
      </w:pPr>
      <w:rPr>
        <w:rFonts w:ascii="Symbol" w:eastAsia="Symbol" w:hAnsi="Symbol" w:cs="Symbol"/>
      </w:rPr>
    </w:lvl>
    <w:lvl w:ilvl="4">
      <w:start w:val="1"/>
      <w:numFmt w:val="bullet"/>
      <w:lvlText w:val="o"/>
      <w:lvlJc w:val="left"/>
      <w:pPr>
        <w:ind w:left="3600"/>
      </w:pPr>
      <w:rPr>
        <w:rFonts w:ascii="Courier New" w:eastAsia="Courier New" w:hAnsi="Courier New" w:cs="Courier New"/>
      </w:rPr>
    </w:lvl>
    <w:lvl w:ilvl="5">
      <w:start w:val="1"/>
      <w:numFmt w:val="bullet"/>
      <w:lvlText w:val=""/>
      <w:lvlJc w:val="left"/>
      <w:pPr>
        <w:ind w:left="4320"/>
      </w:pPr>
      <w:rPr>
        <w:rFonts w:ascii="Wingdings" w:eastAsia="Wingdings" w:hAnsi="Wingdings" w:cs="Wingdings"/>
      </w:rPr>
    </w:lvl>
    <w:lvl w:ilvl="6">
      <w:start w:val="1"/>
      <w:numFmt w:val="bullet"/>
      <w:lvlText w:val=""/>
      <w:lvlJc w:val="left"/>
      <w:pPr>
        <w:ind w:left="5040"/>
      </w:pPr>
      <w:rPr>
        <w:rFonts w:ascii="Symbol" w:eastAsia="Symbol" w:hAnsi="Symbol" w:cs="Symbol"/>
      </w:rPr>
    </w:lvl>
    <w:lvl w:ilvl="7">
      <w:start w:val="1"/>
      <w:numFmt w:val="bullet"/>
      <w:lvlText w:val="o"/>
      <w:lvlJc w:val="left"/>
      <w:pPr>
        <w:ind w:left="5760"/>
      </w:pPr>
      <w:rPr>
        <w:rFonts w:ascii="Courier New" w:eastAsia="Courier New" w:hAnsi="Courier New" w:cs="Courier New"/>
      </w:rPr>
    </w:lvl>
    <w:lvl w:ilvl="8">
      <w:start w:val="1"/>
      <w:numFmt w:val="bullet"/>
      <w:lvlText w:val=""/>
      <w:lvlJc w:val="left"/>
      <w:pPr>
        <w:ind w:left="6480"/>
      </w:pPr>
      <w:rPr>
        <w:rFonts w:ascii="Wingdings" w:eastAsia="Wingdings" w:hAnsi="Wingdings" w:cs="Wingdings"/>
      </w:rPr>
    </w:lvl>
  </w:abstractNum>
  <w:abstractNum w:abstractNumId="5" w15:restartNumberingAfterBreak="0">
    <w:nsid w:val="575512C2"/>
    <w:multiLevelType w:val="multilevel"/>
    <w:tmpl w:val="C39E27E0"/>
    <w:lvl w:ilvl="0">
      <w:start w:val="1"/>
      <w:numFmt w:val="lowerLetter"/>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6" w15:restartNumberingAfterBreak="0">
    <w:nsid w:val="66866C89"/>
    <w:multiLevelType w:val="hybridMultilevel"/>
    <w:tmpl w:val="9D22BD8A"/>
    <w:lvl w:ilvl="0" w:tplc="FFFFFFFF">
      <w:start w:val="1"/>
      <w:numFmt w:val="decimal"/>
      <w:lvlText w:val="%1"/>
      <w:lvlJc w:val="left"/>
      <w:pPr>
        <w:tabs>
          <w:tab w:val="num" w:pos="360"/>
        </w:tabs>
        <w:ind w:left="360" w:hanging="360"/>
      </w:pPr>
      <w:rPr>
        <w:rFonts w:hint="default"/>
        <w:b w:val="0"/>
        <w:color w:val="auto"/>
      </w:rPr>
    </w:lvl>
    <w:lvl w:ilvl="1" w:tplc="FFFFFFFF">
      <w:start w:val="1"/>
      <w:numFmt w:val="lowerLetter"/>
      <w:lvlText w:val="(%2)"/>
      <w:lvlJc w:val="left"/>
      <w:pPr>
        <w:tabs>
          <w:tab w:val="num" w:pos="1080"/>
        </w:tabs>
        <w:ind w:left="1080" w:hanging="360"/>
      </w:pPr>
      <w:rPr>
        <w:rFonts w:hint="default"/>
      </w:rPr>
    </w:lvl>
    <w:lvl w:ilvl="2" w:tplc="FFFFFFFF">
      <w:start w:val="1"/>
      <w:numFmt w:val="lowerRoman"/>
      <w:lvlText w:val="%3."/>
      <w:lvlJc w:val="right"/>
      <w:pPr>
        <w:tabs>
          <w:tab w:val="num" w:pos="1800"/>
        </w:tabs>
        <w:ind w:left="1800" w:hanging="180"/>
      </w:pPr>
    </w:lvl>
    <w:lvl w:ilvl="3" w:tplc="FFFFFFFF">
      <w:start w:val="1"/>
      <w:numFmt w:val="decimal"/>
      <w:lvlText w:val="%4."/>
      <w:lvlJc w:val="left"/>
      <w:pPr>
        <w:tabs>
          <w:tab w:val="num" w:pos="2520"/>
        </w:tabs>
        <w:ind w:left="2520" w:hanging="360"/>
      </w:pPr>
    </w:lvl>
    <w:lvl w:ilvl="4" w:tplc="FFFFFFFF">
      <w:start w:val="1"/>
      <w:numFmt w:val="lowerLetter"/>
      <w:lvlText w:val="%5."/>
      <w:lvlJc w:val="left"/>
      <w:pPr>
        <w:tabs>
          <w:tab w:val="num" w:pos="3240"/>
        </w:tabs>
        <w:ind w:left="3240" w:hanging="360"/>
      </w:pPr>
    </w:lvl>
    <w:lvl w:ilvl="5" w:tplc="FFFFFFFF">
      <w:start w:val="1"/>
      <w:numFmt w:val="lowerRoman"/>
      <w:lvlText w:val="%6."/>
      <w:lvlJc w:val="right"/>
      <w:pPr>
        <w:tabs>
          <w:tab w:val="num" w:pos="3960"/>
        </w:tabs>
        <w:ind w:left="3960" w:hanging="180"/>
      </w:pPr>
    </w:lvl>
    <w:lvl w:ilvl="6" w:tplc="FFFFFFFF">
      <w:start w:val="1"/>
      <w:numFmt w:val="decimal"/>
      <w:lvlText w:val="%7."/>
      <w:lvlJc w:val="left"/>
      <w:pPr>
        <w:tabs>
          <w:tab w:val="num" w:pos="4680"/>
        </w:tabs>
        <w:ind w:left="4680" w:hanging="360"/>
      </w:pPr>
    </w:lvl>
    <w:lvl w:ilvl="7" w:tplc="FFFFFFFF">
      <w:start w:val="1"/>
      <w:numFmt w:val="lowerLetter"/>
      <w:lvlText w:val="%8."/>
      <w:lvlJc w:val="left"/>
      <w:pPr>
        <w:tabs>
          <w:tab w:val="num" w:pos="5400"/>
        </w:tabs>
        <w:ind w:left="5400" w:hanging="360"/>
      </w:pPr>
    </w:lvl>
    <w:lvl w:ilvl="8" w:tplc="FFFFFFFF">
      <w:start w:val="1"/>
      <w:numFmt w:val="lowerRoman"/>
      <w:lvlText w:val="%9."/>
      <w:lvlJc w:val="right"/>
      <w:pPr>
        <w:tabs>
          <w:tab w:val="num" w:pos="6120"/>
        </w:tabs>
        <w:ind w:left="6120" w:hanging="180"/>
      </w:pPr>
    </w:lvl>
  </w:abstractNum>
  <w:abstractNum w:abstractNumId="7" w15:restartNumberingAfterBreak="0">
    <w:nsid w:val="66866C8C"/>
    <w:multiLevelType w:val="multilevel"/>
    <w:tmpl w:val="99799373"/>
    <w:lvl w:ilvl="0">
      <w:start w:val="1"/>
      <w:numFmt w:val="decimal"/>
      <w:lvlText w:val="%1"/>
      <w:lvlJc w:val="left"/>
      <w:pPr>
        <w:tabs>
          <w:tab w:val="num" w:pos="360"/>
        </w:tabs>
        <w:ind w:left="360" w:hanging="360"/>
      </w:pPr>
      <w:rPr>
        <w:b w:val="0"/>
        <w:i w:val="0"/>
        <w:color w:val="auto"/>
        <w:sz w:val="22"/>
        <w:szCs w:val="22"/>
      </w:rPr>
    </w:lvl>
    <w:lvl w:ilvl="1">
      <w:start w:val="1"/>
      <w:numFmt w:val="lowerLetter"/>
      <w:lvlText w:val="(%2)"/>
      <w:lvlJc w:val="left"/>
      <w:pPr>
        <w:tabs>
          <w:tab w:val="num" w:pos="1080"/>
        </w:tabs>
        <w:ind w:left="1080" w:hanging="360"/>
      </w:pPr>
      <w:rPr>
        <w:rFonts w:ascii="Humnst777 BT" w:eastAsia="Humnst777 BT" w:hAnsi="Humnst777 BT" w:cs="Times New Roman"/>
        <w:b w:val="0"/>
        <w:i w:val="0"/>
        <w:color w:val="auto"/>
      </w:rPr>
    </w:lvl>
    <w:lvl w:ilvl="2">
      <w:start w:val="1"/>
      <w:numFmt w:val="lowerLetter"/>
      <w:lvlText w:val="(%3)"/>
      <w:lvlJc w:val="left"/>
      <w:pPr>
        <w:tabs>
          <w:tab w:val="num" w:pos="1980"/>
        </w:tabs>
        <w:ind w:left="1980" w:hanging="360"/>
      </w:pPr>
      <w:rPr>
        <w:b w:val="0"/>
        <w:color w:val="auto"/>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15:restartNumberingAfterBreak="0">
    <w:nsid w:val="715E6A62"/>
    <w:multiLevelType w:val="multilevel"/>
    <w:tmpl w:val="08B69DA6"/>
    <w:lvl w:ilvl="0">
      <w:start w:val="1"/>
      <w:numFmt w:val="decimal"/>
      <w:lvlText w:val="%1."/>
      <w:lvlJc w:val="left"/>
      <w:pPr>
        <w:ind w:left="720"/>
      </w:pPr>
      <w:rPr>
        <w:rFonts w:ascii="Times New Roman" w:eastAsia="Times New Roman" w:hAnsi="Times New Roman" w:cs="Times New Roman"/>
      </w:rPr>
    </w:lvl>
    <w:lvl w:ilvl="1">
      <w:start w:val="1"/>
      <w:numFmt w:val="lowerLetter"/>
      <w:lvlText w:val="%2."/>
      <w:lvlJc w:val="right"/>
      <w:pPr>
        <w:ind w:left="1440"/>
      </w:pPr>
      <w:rPr>
        <w:rFonts w:ascii="Times New Roman" w:eastAsia="Times New Roman" w:hAnsi="Times New Roman" w:cs="Times New Roman"/>
      </w:rPr>
    </w:lvl>
    <w:lvl w:ilvl="2">
      <w:start w:val="1"/>
      <w:numFmt w:val="lowerRoman"/>
      <w:lvlText w:val="%3."/>
      <w:lvlJc w:val="left"/>
      <w:pPr>
        <w:ind w:left="2160"/>
      </w:pPr>
      <w:rPr>
        <w:rFonts w:ascii="Times New Roman" w:eastAsia="Times New Roman" w:hAnsi="Times New Roman" w:cs="Times New Roman"/>
      </w:rPr>
    </w:lvl>
    <w:lvl w:ilvl="3">
      <w:start w:val="1"/>
      <w:numFmt w:val="decimal"/>
      <w:lvlText w:val="%4."/>
      <w:lvlJc w:val="left"/>
      <w:pPr>
        <w:ind w:left="2880"/>
      </w:pPr>
      <w:rPr>
        <w:rFonts w:ascii="Times New Roman" w:eastAsia="Times New Roman" w:hAnsi="Times New Roman" w:cs="Times New Roman"/>
      </w:rPr>
    </w:lvl>
    <w:lvl w:ilvl="4">
      <w:start w:val="1"/>
      <w:numFmt w:val="lowerLetter"/>
      <w:lvlText w:val="%5."/>
      <w:lvlJc w:val="right"/>
      <w:pPr>
        <w:ind w:left="3600"/>
      </w:pPr>
      <w:rPr>
        <w:rFonts w:ascii="Times New Roman" w:eastAsia="Times New Roman" w:hAnsi="Times New Roman" w:cs="Times New Roman"/>
      </w:rPr>
    </w:lvl>
    <w:lvl w:ilvl="5">
      <w:start w:val="1"/>
      <w:numFmt w:val="lowerRoman"/>
      <w:lvlText w:val="%6."/>
      <w:lvlJc w:val="left"/>
      <w:pPr>
        <w:ind w:left="4320"/>
      </w:pPr>
      <w:rPr>
        <w:rFonts w:ascii="Times New Roman" w:eastAsia="Times New Roman" w:hAnsi="Times New Roman" w:cs="Times New Roman"/>
      </w:rPr>
    </w:lvl>
    <w:lvl w:ilvl="6">
      <w:start w:val="1"/>
      <w:numFmt w:val="decimal"/>
      <w:lvlText w:val="%7."/>
      <w:lvlJc w:val="left"/>
      <w:pPr>
        <w:ind w:left="5040"/>
      </w:pPr>
      <w:rPr>
        <w:rFonts w:ascii="Times New Roman" w:eastAsia="Times New Roman" w:hAnsi="Times New Roman" w:cs="Times New Roman"/>
      </w:rPr>
    </w:lvl>
    <w:lvl w:ilvl="7">
      <w:start w:val="1"/>
      <w:numFmt w:val="lowerLetter"/>
      <w:lvlText w:val="%8."/>
      <w:lvlJc w:val="right"/>
      <w:pPr>
        <w:ind w:left="5760"/>
      </w:pPr>
      <w:rPr>
        <w:rFonts w:ascii="Times New Roman" w:eastAsia="Times New Roman" w:hAnsi="Times New Roman" w:cs="Times New Roman"/>
      </w:rPr>
    </w:lvl>
    <w:lvl w:ilvl="8">
      <w:start w:val="1"/>
      <w:numFmt w:val="lowerRoman"/>
      <w:lvlText w:val="%9."/>
      <w:lvlJc w:val="left"/>
      <w:pPr>
        <w:ind w:left="6480"/>
      </w:pPr>
      <w:rPr>
        <w:rFonts w:ascii="Times New Roman" w:eastAsia="Times New Roman" w:hAnsi="Times New Roman" w:cs="Times New Roman"/>
      </w:rPr>
    </w:lvl>
  </w:abstractNum>
  <w:num w:numId="1">
    <w:abstractNumId w:val="8"/>
  </w:num>
  <w:num w:numId="2">
    <w:abstractNumId w:val="4"/>
  </w:num>
  <w:num w:numId="3">
    <w:abstractNumId w:val="3"/>
  </w:num>
  <w:num w:numId="4">
    <w:abstractNumId w:val="1"/>
  </w:num>
  <w:num w:numId="5">
    <w:abstractNumId w:val="0"/>
  </w:num>
  <w:num w:numId="6">
    <w:abstractNumId w:val="5"/>
  </w:num>
  <w:num w:numId="7">
    <w:abstractNumId w:val="7"/>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7A7"/>
    <w:rsid w:val="000767A7"/>
    <w:rsid w:val="000F6BC5"/>
    <w:rsid w:val="005A0D8D"/>
    <w:rsid w:val="00725909"/>
    <w:rsid w:val="009D2777"/>
    <w:rsid w:val="00A2379B"/>
    <w:rsid w:val="00A9084C"/>
    <w:rsid w:val="00BF0735"/>
    <w:rsid w:val="00C16C80"/>
    <w:rsid w:val="00D21273"/>
    <w:rsid w:val="00F913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4C54435-9DD9-43C3-9173-C85E0AB24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ar-S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5A0D8D"/>
    <w:pPr>
      <w:ind w:left="720"/>
      <w:contextualSpacing/>
    </w:pPr>
  </w:style>
  <w:style w:type="character" w:styleId="CommentReference">
    <w:name w:val="annotation reference"/>
    <w:basedOn w:val="DefaultParagraphFont"/>
    <w:uiPriority w:val="99"/>
    <w:semiHidden/>
    <w:unhideWhenUsed/>
    <w:rsid w:val="009D2777"/>
    <w:rPr>
      <w:sz w:val="16"/>
      <w:szCs w:val="16"/>
    </w:rPr>
  </w:style>
  <w:style w:type="paragraph" w:styleId="CommentText">
    <w:name w:val="annotation text"/>
    <w:basedOn w:val="Normal"/>
    <w:link w:val="CommentTextChar"/>
    <w:uiPriority w:val="99"/>
    <w:semiHidden/>
    <w:unhideWhenUsed/>
    <w:rsid w:val="009D2777"/>
    <w:pPr>
      <w:spacing w:line="240" w:lineRule="auto"/>
    </w:pPr>
    <w:rPr>
      <w:sz w:val="20"/>
      <w:szCs w:val="20"/>
    </w:rPr>
  </w:style>
  <w:style w:type="character" w:customStyle="1" w:styleId="CommentTextChar">
    <w:name w:val="Comment Text Char"/>
    <w:basedOn w:val="DefaultParagraphFont"/>
    <w:link w:val="CommentText"/>
    <w:uiPriority w:val="99"/>
    <w:semiHidden/>
    <w:rsid w:val="009D2777"/>
    <w:rPr>
      <w:sz w:val="20"/>
      <w:szCs w:val="20"/>
    </w:rPr>
  </w:style>
  <w:style w:type="paragraph" w:styleId="CommentSubject">
    <w:name w:val="annotation subject"/>
    <w:basedOn w:val="CommentText"/>
    <w:next w:val="CommentText"/>
    <w:link w:val="CommentSubjectChar"/>
    <w:uiPriority w:val="99"/>
    <w:semiHidden/>
    <w:unhideWhenUsed/>
    <w:rsid w:val="009D2777"/>
    <w:rPr>
      <w:b/>
      <w:bCs/>
    </w:rPr>
  </w:style>
  <w:style w:type="character" w:customStyle="1" w:styleId="CommentSubjectChar">
    <w:name w:val="Comment Subject Char"/>
    <w:basedOn w:val="CommentTextChar"/>
    <w:link w:val="CommentSubject"/>
    <w:uiPriority w:val="99"/>
    <w:semiHidden/>
    <w:rsid w:val="009D2777"/>
    <w:rPr>
      <w:b/>
      <w:bCs/>
      <w:sz w:val="20"/>
      <w:szCs w:val="20"/>
    </w:rPr>
  </w:style>
  <w:style w:type="paragraph" w:styleId="BalloonText">
    <w:name w:val="Balloon Text"/>
    <w:basedOn w:val="Normal"/>
    <w:link w:val="BalloonTextChar"/>
    <w:uiPriority w:val="99"/>
    <w:semiHidden/>
    <w:unhideWhenUsed/>
    <w:rsid w:val="009D277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D27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5EF90E36</Template>
  <TotalTime>4</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7_Health and Social Care FD Special Regulations</vt:lpstr>
    </vt:vector>
  </TitlesOfParts>
  <Company>Canterbury Christ Church University</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7_Health and Social Care FD Special Regulations</dc:title>
  <dc:creator>Luke Westhead</dc:creator>
  <cp:lastModifiedBy>Collins, Suzanne (suzanne.collins@canterbury.ac.uk)</cp:lastModifiedBy>
  <cp:revision>4</cp:revision>
  <dcterms:created xsi:type="dcterms:W3CDTF">2016-02-29T13:23:00Z</dcterms:created>
  <dcterms:modified xsi:type="dcterms:W3CDTF">2016-08-31T13:00:00Z</dcterms:modified>
</cp:coreProperties>
</file>