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37" w:rsidRPr="00F7559D" w:rsidRDefault="00F7559D" w:rsidP="00894837">
      <w:pPr>
        <w:tabs>
          <w:tab w:val="right" w:pos="7920"/>
        </w:tabs>
        <w:jc w:val="center"/>
        <w:rPr>
          <w:rFonts w:ascii="Humnst777 BT" w:eastAsia="Humnst777 BT" w:hAnsi="Humnst777 BT" w:cs="Times New Roman"/>
          <w:b/>
          <w:color w:val="000080"/>
          <w:lang w:eastAsia="en-GB"/>
        </w:rPr>
      </w:pPr>
      <w:r w:rsidRPr="00F7559D">
        <w:rPr>
          <w:rFonts w:ascii="Humnst777 BT" w:eastAsia="Humnst777 BT" w:hAnsi="Humnst777 BT" w:cs="Times New Roman"/>
          <w:b/>
          <w:color w:val="000080"/>
          <w:lang w:eastAsia="en-GB"/>
        </w:rPr>
        <w:t>SPECIAL REGULATIONS: FOUNDATION DEGREE IN HEALTH PROMOTION AND PUBLIC HEALTH</w:t>
      </w:r>
    </w:p>
    <w:p w:rsidR="00894837" w:rsidRDefault="00894837" w:rsidP="00894837">
      <w:pPr>
        <w:tabs>
          <w:tab w:val="right" w:pos="7920"/>
        </w:tabs>
        <w:jc w:val="both"/>
        <w:rPr>
          <w:rFonts w:ascii="Humnst777 BT" w:hAnsi="Humnst777 BT"/>
        </w:rPr>
      </w:pPr>
    </w:p>
    <w:p w:rsidR="00F7559D" w:rsidRPr="00F7559D" w:rsidRDefault="00F7559D" w:rsidP="00F7559D">
      <w:pPr>
        <w:overflowPunct w:val="0"/>
        <w:autoSpaceDE w:val="0"/>
        <w:autoSpaceDN w:val="0"/>
        <w:adjustRightInd w:val="0"/>
        <w:spacing w:line="276" w:lineRule="auto"/>
        <w:jc w:val="both"/>
        <w:textAlignment w:val="baseline"/>
        <w:rPr>
          <w:rFonts w:ascii="Humnst777 BT" w:hAnsi="Humnst777 BT"/>
          <w:b/>
          <w:color w:val="000080"/>
          <w:lang w:eastAsia="en-GB"/>
        </w:rPr>
      </w:pPr>
      <w:r w:rsidRPr="00F7559D">
        <w:rPr>
          <w:rFonts w:ascii="Humnst777 BT" w:hAnsi="Humnst777 BT"/>
          <w:b/>
          <w:color w:val="000080"/>
          <w:lang w:eastAsia="en-GB"/>
        </w:rPr>
        <w:t>INTRODUCTION</w:t>
      </w:r>
    </w:p>
    <w:p w:rsidR="00F7559D" w:rsidRDefault="00F7559D" w:rsidP="00894837">
      <w:pPr>
        <w:tabs>
          <w:tab w:val="right" w:pos="7920"/>
        </w:tabs>
        <w:jc w:val="both"/>
        <w:rPr>
          <w:rFonts w:ascii="Humnst777 BT" w:hAnsi="Humnst777 BT"/>
        </w:rPr>
      </w:pPr>
    </w:p>
    <w:p w:rsidR="00F7559D" w:rsidRPr="00F7559D" w:rsidRDefault="00F7559D" w:rsidP="00F7559D">
      <w:pPr>
        <w:pStyle w:val="ListParagraph"/>
        <w:numPr>
          <w:ilvl w:val="0"/>
          <w:numId w:val="3"/>
        </w:numPr>
        <w:tabs>
          <w:tab w:val="num" w:pos="567"/>
        </w:tabs>
        <w:suppressAutoHyphens/>
        <w:spacing w:before="120" w:after="120" w:line="276" w:lineRule="auto"/>
        <w:ind w:left="567" w:hanging="567"/>
        <w:jc w:val="both"/>
        <w:rPr>
          <w:rFonts w:ascii="Humnst777 BT" w:hAnsi="Humnst777 BT"/>
        </w:rPr>
      </w:pPr>
      <w:r w:rsidRPr="00F7559D">
        <w:rPr>
          <w:rFonts w:ascii="Humnst777 BT" w:hAnsi="Humnst777 BT"/>
        </w:rPr>
        <w:t>These Special Regulations relate only to the following programme:</w:t>
      </w:r>
    </w:p>
    <w:p w:rsidR="00F7559D" w:rsidRDefault="00F7559D" w:rsidP="00894837">
      <w:pPr>
        <w:tabs>
          <w:tab w:val="right" w:pos="7920"/>
        </w:tabs>
        <w:jc w:val="both"/>
        <w:rPr>
          <w:rFonts w:ascii="Humnst777 BT" w:hAnsi="Humnst777 BT"/>
        </w:rPr>
      </w:pPr>
    </w:p>
    <w:p w:rsidR="00F7559D" w:rsidRDefault="00F7559D" w:rsidP="00F7559D">
      <w:pPr>
        <w:tabs>
          <w:tab w:val="right" w:pos="7920"/>
        </w:tabs>
        <w:ind w:left="1134"/>
        <w:jc w:val="both"/>
        <w:rPr>
          <w:rFonts w:ascii="Humnst777 BT" w:hAnsi="Humnst777 BT"/>
        </w:rPr>
      </w:pPr>
      <w:r>
        <w:rPr>
          <w:rFonts w:ascii="Humnst777 BT" w:hAnsi="Humnst777 BT"/>
        </w:rPr>
        <w:t>Foundation Degree Health Promotion and Public Health</w:t>
      </w:r>
    </w:p>
    <w:p w:rsidR="00F7559D" w:rsidRDefault="00F7559D" w:rsidP="00894837">
      <w:pPr>
        <w:tabs>
          <w:tab w:val="right" w:pos="7920"/>
        </w:tabs>
        <w:jc w:val="both"/>
        <w:rPr>
          <w:rFonts w:ascii="Humnst777 BT" w:hAnsi="Humnst777 BT"/>
        </w:rPr>
      </w:pPr>
    </w:p>
    <w:p w:rsidR="00894837" w:rsidRDefault="00894837" w:rsidP="00F7559D">
      <w:pPr>
        <w:pStyle w:val="ListParagraph"/>
        <w:numPr>
          <w:ilvl w:val="0"/>
          <w:numId w:val="3"/>
        </w:numPr>
        <w:tabs>
          <w:tab w:val="num" w:pos="567"/>
        </w:tabs>
        <w:suppressAutoHyphens/>
        <w:spacing w:before="120" w:after="120" w:line="276" w:lineRule="auto"/>
        <w:ind w:left="567" w:hanging="567"/>
        <w:jc w:val="both"/>
        <w:rPr>
          <w:rFonts w:ascii="Humnst777 BT" w:hAnsi="Humnst777 BT"/>
        </w:rPr>
      </w:pPr>
      <w:r>
        <w:rPr>
          <w:rFonts w:ascii="Humnst777 BT" w:hAnsi="Humnst777 BT"/>
        </w:rPr>
        <w:t>The requirement for admissions are those set out in the Regulation and Credit Framework for the Conferment of Awards with</w:t>
      </w:r>
      <w:r w:rsidR="00F7559D">
        <w:rPr>
          <w:rFonts w:ascii="Humnst777 BT" w:hAnsi="Humnst777 BT"/>
        </w:rPr>
        <w:t xml:space="preserve"> the exception of the following.</w:t>
      </w:r>
    </w:p>
    <w:p w:rsidR="00F7559D" w:rsidRDefault="00F7559D" w:rsidP="00F7559D">
      <w:pPr>
        <w:overflowPunct w:val="0"/>
        <w:autoSpaceDE w:val="0"/>
        <w:autoSpaceDN w:val="0"/>
        <w:adjustRightInd w:val="0"/>
        <w:spacing w:line="276" w:lineRule="auto"/>
        <w:jc w:val="both"/>
        <w:textAlignment w:val="baseline"/>
        <w:rPr>
          <w:rFonts w:ascii="Humnst777 BT" w:hAnsi="Humnst777 BT"/>
          <w:b/>
          <w:color w:val="000080"/>
          <w:lang w:eastAsia="en-GB"/>
        </w:rPr>
      </w:pPr>
    </w:p>
    <w:p w:rsidR="00F7559D" w:rsidRPr="00F7559D" w:rsidRDefault="00F7559D" w:rsidP="00F7559D">
      <w:pPr>
        <w:overflowPunct w:val="0"/>
        <w:autoSpaceDE w:val="0"/>
        <w:autoSpaceDN w:val="0"/>
        <w:adjustRightInd w:val="0"/>
        <w:spacing w:line="276" w:lineRule="auto"/>
        <w:jc w:val="both"/>
        <w:textAlignment w:val="baseline"/>
        <w:rPr>
          <w:rFonts w:ascii="Humnst777 BT" w:hAnsi="Humnst777 BT"/>
          <w:b/>
          <w:color w:val="000080"/>
          <w:lang w:eastAsia="en-GB"/>
        </w:rPr>
      </w:pPr>
      <w:r w:rsidRPr="00F7559D">
        <w:rPr>
          <w:rFonts w:ascii="Humnst777 BT" w:hAnsi="Humnst777 BT"/>
          <w:b/>
          <w:color w:val="000080"/>
          <w:lang w:eastAsia="en-GB"/>
        </w:rPr>
        <w:t>ENTRY REQUIREMENTS</w:t>
      </w:r>
    </w:p>
    <w:p w:rsidR="00F7559D" w:rsidRDefault="00F7559D" w:rsidP="00894837">
      <w:pPr>
        <w:tabs>
          <w:tab w:val="right" w:pos="7920"/>
        </w:tabs>
        <w:jc w:val="both"/>
        <w:rPr>
          <w:rFonts w:ascii="Humnst777 BT" w:hAnsi="Humnst777 BT"/>
        </w:rPr>
      </w:pPr>
    </w:p>
    <w:p w:rsidR="00894837" w:rsidRDefault="00894837" w:rsidP="00F7559D">
      <w:pPr>
        <w:pStyle w:val="ListParagraph"/>
        <w:numPr>
          <w:ilvl w:val="0"/>
          <w:numId w:val="3"/>
        </w:numPr>
        <w:tabs>
          <w:tab w:val="num" w:pos="567"/>
        </w:tabs>
        <w:suppressAutoHyphens/>
        <w:spacing w:before="120" w:after="120" w:line="276" w:lineRule="auto"/>
        <w:ind w:left="567" w:hanging="567"/>
        <w:jc w:val="both"/>
        <w:rPr>
          <w:rFonts w:ascii="Humnst777 BT" w:hAnsi="Humnst777 BT"/>
        </w:rPr>
      </w:pPr>
      <w:r>
        <w:rPr>
          <w:rFonts w:ascii="Humnst777 BT" w:hAnsi="Humnst777 BT"/>
        </w:rPr>
        <w:t>In addition to the University’s standard entry requirements for undergraduate awards applicants must either:</w:t>
      </w:r>
    </w:p>
    <w:p w:rsidR="00894837" w:rsidRDefault="00894837" w:rsidP="00894837">
      <w:pPr>
        <w:tabs>
          <w:tab w:val="right" w:pos="7920"/>
        </w:tabs>
        <w:jc w:val="both"/>
        <w:rPr>
          <w:rFonts w:ascii="Humnst777 BT" w:hAnsi="Humnst777 BT"/>
        </w:rPr>
      </w:pPr>
    </w:p>
    <w:p w:rsidR="00894837" w:rsidRDefault="00894837" w:rsidP="00F7559D">
      <w:pPr>
        <w:tabs>
          <w:tab w:val="right" w:pos="7920"/>
        </w:tabs>
        <w:ind w:left="567"/>
        <w:jc w:val="both"/>
        <w:rPr>
          <w:rFonts w:ascii="Humnst777 BT" w:hAnsi="Humnst777 BT"/>
        </w:rPr>
      </w:pPr>
      <w:r>
        <w:rPr>
          <w:rFonts w:ascii="Humnst777 BT" w:hAnsi="Humnst777 BT"/>
        </w:rPr>
        <w:t xml:space="preserve">i) Be working with people in the statutory sector for at least 15 hours per week within one of the following areas: </w:t>
      </w:r>
    </w:p>
    <w:p w:rsidR="00894837" w:rsidRDefault="00894837" w:rsidP="00F7559D">
      <w:pPr>
        <w:ind w:left="567"/>
        <w:rPr>
          <w:rFonts w:ascii="Humnst777 BT" w:hAnsi="Humnst777 BT"/>
        </w:rPr>
      </w:pPr>
    </w:p>
    <w:p w:rsidR="00894837" w:rsidRPr="00894837" w:rsidRDefault="00894837" w:rsidP="00F7559D">
      <w:pPr>
        <w:pStyle w:val="ListParagraph"/>
        <w:numPr>
          <w:ilvl w:val="0"/>
          <w:numId w:val="1"/>
        </w:numPr>
        <w:ind w:left="993"/>
        <w:rPr>
          <w:rFonts w:ascii="Humnst777 BT" w:hAnsi="Humnst777 BT"/>
        </w:rPr>
      </w:pPr>
      <w:r w:rsidRPr="00894837">
        <w:rPr>
          <w:rFonts w:ascii="Humnst777 BT" w:hAnsi="Humnst777 BT"/>
        </w:rPr>
        <w:t>Public health</w:t>
      </w:r>
    </w:p>
    <w:p w:rsidR="00894837" w:rsidRPr="00BB61F1" w:rsidRDefault="00894837" w:rsidP="00F7559D">
      <w:pPr>
        <w:numPr>
          <w:ilvl w:val="0"/>
          <w:numId w:val="1"/>
        </w:numPr>
        <w:tabs>
          <w:tab w:val="right" w:pos="7920"/>
        </w:tabs>
        <w:ind w:left="993"/>
        <w:rPr>
          <w:rFonts w:ascii="Humnst777 BT" w:hAnsi="Humnst777 BT"/>
        </w:rPr>
      </w:pPr>
      <w:r w:rsidRPr="00BB61F1">
        <w:rPr>
          <w:rFonts w:ascii="Humnst777 BT" w:hAnsi="Humnst777 BT"/>
        </w:rPr>
        <w:t>Health improvement or health promotion</w:t>
      </w:r>
    </w:p>
    <w:p w:rsidR="00894837" w:rsidRPr="00BB61F1" w:rsidRDefault="00894837" w:rsidP="00F7559D">
      <w:pPr>
        <w:numPr>
          <w:ilvl w:val="0"/>
          <w:numId w:val="1"/>
        </w:numPr>
        <w:tabs>
          <w:tab w:val="right" w:pos="7920"/>
        </w:tabs>
        <w:ind w:left="993"/>
        <w:rPr>
          <w:rFonts w:ascii="Humnst777 BT" w:hAnsi="Humnst777 BT"/>
        </w:rPr>
      </w:pPr>
      <w:r w:rsidRPr="00BB61F1">
        <w:rPr>
          <w:rFonts w:ascii="Humnst777 BT" w:hAnsi="Humnst777 BT"/>
        </w:rPr>
        <w:t>Health care</w:t>
      </w:r>
    </w:p>
    <w:p w:rsidR="00894837" w:rsidRPr="00BB61F1" w:rsidRDefault="00894837" w:rsidP="00F7559D">
      <w:pPr>
        <w:numPr>
          <w:ilvl w:val="0"/>
          <w:numId w:val="1"/>
        </w:numPr>
        <w:tabs>
          <w:tab w:val="right" w:pos="7920"/>
        </w:tabs>
        <w:ind w:left="993"/>
        <w:rPr>
          <w:rFonts w:ascii="Humnst777 BT" w:hAnsi="Humnst777 BT"/>
        </w:rPr>
      </w:pPr>
      <w:r w:rsidRPr="00BB61F1">
        <w:rPr>
          <w:rFonts w:ascii="Humnst777 BT" w:hAnsi="Humnst777 BT"/>
        </w:rPr>
        <w:t>Social care</w:t>
      </w:r>
    </w:p>
    <w:p w:rsidR="00894837" w:rsidRPr="00BB61F1" w:rsidRDefault="00894837" w:rsidP="00F7559D">
      <w:pPr>
        <w:numPr>
          <w:ilvl w:val="0"/>
          <w:numId w:val="1"/>
        </w:numPr>
        <w:tabs>
          <w:tab w:val="right" w:pos="7920"/>
        </w:tabs>
        <w:ind w:left="993"/>
        <w:rPr>
          <w:rFonts w:ascii="Humnst777 BT" w:hAnsi="Humnst777 BT"/>
        </w:rPr>
      </w:pPr>
      <w:r w:rsidRPr="00BB61F1">
        <w:rPr>
          <w:rFonts w:ascii="Humnst777 BT" w:hAnsi="Humnst777 BT"/>
        </w:rPr>
        <w:t>Community development</w:t>
      </w:r>
    </w:p>
    <w:p w:rsidR="00894837" w:rsidRDefault="00894837" w:rsidP="00F7559D">
      <w:pPr>
        <w:tabs>
          <w:tab w:val="right" w:pos="7920"/>
        </w:tabs>
        <w:ind w:left="567"/>
        <w:rPr>
          <w:rFonts w:ascii="Humnst777 BT" w:hAnsi="Humnst777 BT"/>
        </w:rPr>
      </w:pPr>
    </w:p>
    <w:p w:rsidR="00894837" w:rsidRDefault="00894837" w:rsidP="00F7559D">
      <w:pPr>
        <w:tabs>
          <w:tab w:val="right" w:pos="7920"/>
        </w:tabs>
        <w:ind w:left="567"/>
        <w:rPr>
          <w:rFonts w:ascii="Humnst777 BT" w:hAnsi="Humnst777 BT"/>
        </w:rPr>
      </w:pPr>
      <w:r>
        <w:rPr>
          <w:rFonts w:ascii="Humnst777 BT" w:hAnsi="Humnst777 BT"/>
        </w:rPr>
        <w:t>Applicants must have the support of their employer who will be required to send a confirmation letter that the student has a placement.</w:t>
      </w:r>
    </w:p>
    <w:p w:rsidR="00894837" w:rsidRPr="00827EFD" w:rsidRDefault="00894837" w:rsidP="00894837">
      <w:pPr>
        <w:tabs>
          <w:tab w:val="right" w:pos="7920"/>
        </w:tabs>
        <w:rPr>
          <w:rFonts w:ascii="Humnst777 BT" w:hAnsi="Humnst777 BT"/>
        </w:rPr>
      </w:pPr>
    </w:p>
    <w:p w:rsidR="00894837" w:rsidRDefault="00894837" w:rsidP="00F7559D">
      <w:pPr>
        <w:tabs>
          <w:tab w:val="right" w:pos="7920"/>
        </w:tabs>
        <w:ind w:left="426"/>
        <w:jc w:val="both"/>
        <w:rPr>
          <w:rFonts w:ascii="Humnst777 BT" w:hAnsi="Humnst777 BT"/>
        </w:rPr>
      </w:pPr>
      <w:r>
        <w:rPr>
          <w:rFonts w:ascii="Humnst777 BT" w:hAnsi="Humnst777 BT"/>
        </w:rPr>
        <w:t>Or</w:t>
      </w:r>
    </w:p>
    <w:p w:rsidR="00894837" w:rsidRDefault="00894837" w:rsidP="00894837">
      <w:pPr>
        <w:tabs>
          <w:tab w:val="right" w:pos="7920"/>
        </w:tabs>
        <w:jc w:val="both"/>
        <w:rPr>
          <w:rFonts w:ascii="Humnst777 BT" w:hAnsi="Humnst777 BT"/>
        </w:rPr>
      </w:pPr>
    </w:p>
    <w:p w:rsidR="00894837" w:rsidRDefault="00894837" w:rsidP="00F7559D">
      <w:pPr>
        <w:tabs>
          <w:tab w:val="right" w:pos="7920"/>
        </w:tabs>
        <w:ind w:left="709"/>
        <w:jc w:val="both"/>
        <w:rPr>
          <w:rFonts w:ascii="Humnst777 BT" w:hAnsi="Humnst777 BT"/>
        </w:rPr>
      </w:pPr>
      <w:r>
        <w:rPr>
          <w:rFonts w:ascii="Humnst777 BT" w:hAnsi="Humnst777 BT"/>
        </w:rPr>
        <w:t xml:space="preserve">ii) Undertake equivalent activity by working in a voluntary capacity. The precise details can be negotiated but there will still be a requirement for 15 hours per week of relevant work experience and appropriate arrangements in place to provide suitable work-based experiences. </w:t>
      </w:r>
    </w:p>
    <w:p w:rsidR="00894837" w:rsidRDefault="00894837" w:rsidP="00F7559D">
      <w:pPr>
        <w:tabs>
          <w:tab w:val="right" w:pos="7920"/>
        </w:tabs>
        <w:ind w:left="709"/>
        <w:jc w:val="both"/>
        <w:rPr>
          <w:rFonts w:ascii="Humnst777 BT" w:hAnsi="Humnst777 BT"/>
        </w:rPr>
      </w:pPr>
    </w:p>
    <w:p w:rsidR="00894837" w:rsidRDefault="00894837" w:rsidP="00F7559D">
      <w:pPr>
        <w:pStyle w:val="ListParagraph"/>
        <w:numPr>
          <w:ilvl w:val="0"/>
          <w:numId w:val="3"/>
        </w:numPr>
        <w:tabs>
          <w:tab w:val="num" w:pos="567"/>
        </w:tabs>
        <w:suppressAutoHyphens/>
        <w:spacing w:before="120" w:after="120" w:line="276" w:lineRule="auto"/>
        <w:ind w:left="567" w:hanging="567"/>
        <w:jc w:val="both"/>
        <w:rPr>
          <w:rFonts w:ascii="Humnst777 BT" w:hAnsi="Humnst777 BT"/>
        </w:rPr>
      </w:pPr>
      <w:r>
        <w:rPr>
          <w:rFonts w:ascii="Humnst777 BT" w:hAnsi="Humnst777 BT"/>
        </w:rPr>
        <w:t>In addition applicants must normally:</w:t>
      </w:r>
    </w:p>
    <w:p w:rsidR="00F7559D" w:rsidRDefault="00F7559D" w:rsidP="00F7559D">
      <w:pPr>
        <w:pStyle w:val="ListParagraph"/>
        <w:suppressAutoHyphens/>
        <w:spacing w:before="120" w:after="120" w:line="276" w:lineRule="auto"/>
        <w:ind w:left="567"/>
        <w:jc w:val="both"/>
        <w:rPr>
          <w:rFonts w:ascii="Humnst777 BT" w:hAnsi="Humnst777 BT"/>
        </w:rPr>
      </w:pPr>
    </w:p>
    <w:p w:rsidR="00894837" w:rsidRPr="00C536A9" w:rsidRDefault="00894837" w:rsidP="00F7559D">
      <w:pPr>
        <w:pStyle w:val="ListParagraph"/>
        <w:numPr>
          <w:ilvl w:val="0"/>
          <w:numId w:val="1"/>
        </w:numPr>
        <w:ind w:left="993"/>
        <w:rPr>
          <w:rFonts w:ascii="Humnst777 BT" w:hAnsi="Humnst777 BT"/>
        </w:rPr>
      </w:pPr>
      <w:proofErr w:type="gramStart"/>
      <w:r w:rsidRPr="00C536A9">
        <w:rPr>
          <w:rFonts w:ascii="Humnst777 BT" w:hAnsi="Humnst777 BT"/>
        </w:rPr>
        <w:t>have</w:t>
      </w:r>
      <w:proofErr w:type="gramEnd"/>
      <w:r w:rsidRPr="00C536A9">
        <w:rPr>
          <w:rFonts w:ascii="Humnst777 BT" w:hAnsi="Humnst777 BT"/>
        </w:rPr>
        <w:t xml:space="preserve"> certified evidence of Level 2 literacy and numeracy.</w:t>
      </w:r>
    </w:p>
    <w:p w:rsidR="00894837" w:rsidRPr="00C536A9" w:rsidRDefault="00894837" w:rsidP="00F7559D">
      <w:pPr>
        <w:tabs>
          <w:tab w:val="right" w:pos="7920"/>
        </w:tabs>
        <w:ind w:left="709"/>
        <w:jc w:val="both"/>
        <w:rPr>
          <w:rFonts w:ascii="Humnst777 BT" w:hAnsi="Humnst777 BT"/>
        </w:rPr>
      </w:pPr>
    </w:p>
    <w:p w:rsidR="00894837" w:rsidRDefault="00894837" w:rsidP="00F7559D">
      <w:pPr>
        <w:pStyle w:val="ListParagraph"/>
        <w:numPr>
          <w:ilvl w:val="0"/>
          <w:numId w:val="3"/>
        </w:numPr>
        <w:tabs>
          <w:tab w:val="num" w:pos="567"/>
        </w:tabs>
        <w:suppressAutoHyphens/>
        <w:spacing w:before="120" w:after="120" w:line="276" w:lineRule="auto"/>
        <w:ind w:left="567" w:hanging="567"/>
        <w:jc w:val="both"/>
        <w:rPr>
          <w:rFonts w:ascii="Humnst777 BT" w:hAnsi="Humnst777 BT"/>
        </w:rPr>
      </w:pPr>
      <w:r>
        <w:rPr>
          <w:rFonts w:ascii="Humnst777 BT" w:hAnsi="Humnst777 BT"/>
        </w:rPr>
        <w:t xml:space="preserve">Candidates without qualifications detailed in the Regulation and Credit Framework for the Conferment of Awards may be eligible for entry to the Foundation Degree if they can demonstrate an ability to study at a suitable level. </w:t>
      </w:r>
    </w:p>
    <w:p w:rsidR="00894837" w:rsidRDefault="00894837" w:rsidP="00894837">
      <w:pPr>
        <w:tabs>
          <w:tab w:val="right" w:pos="7920"/>
        </w:tabs>
        <w:jc w:val="both"/>
        <w:rPr>
          <w:rFonts w:ascii="Humnst777 BT" w:hAnsi="Humnst777 BT"/>
        </w:rPr>
      </w:pPr>
    </w:p>
    <w:p w:rsidR="00F7559D" w:rsidRDefault="00F7559D" w:rsidP="00F7559D">
      <w:pPr>
        <w:overflowPunct w:val="0"/>
        <w:autoSpaceDE w:val="0"/>
        <w:autoSpaceDN w:val="0"/>
        <w:adjustRightInd w:val="0"/>
        <w:spacing w:line="276" w:lineRule="auto"/>
        <w:jc w:val="both"/>
        <w:textAlignment w:val="baseline"/>
        <w:rPr>
          <w:rFonts w:ascii="Humnst777 BT" w:hAnsi="Humnst777 BT"/>
          <w:b/>
          <w:color w:val="000080"/>
          <w:lang w:eastAsia="en-GB"/>
        </w:rPr>
      </w:pPr>
    </w:p>
    <w:p w:rsidR="00F7559D" w:rsidRDefault="00F7559D" w:rsidP="00F7559D">
      <w:pPr>
        <w:overflowPunct w:val="0"/>
        <w:autoSpaceDE w:val="0"/>
        <w:autoSpaceDN w:val="0"/>
        <w:adjustRightInd w:val="0"/>
        <w:spacing w:line="276" w:lineRule="auto"/>
        <w:jc w:val="both"/>
        <w:textAlignment w:val="baseline"/>
        <w:rPr>
          <w:rFonts w:ascii="Humnst777 BT" w:hAnsi="Humnst777 BT"/>
          <w:b/>
          <w:color w:val="000080"/>
          <w:lang w:eastAsia="en-GB"/>
        </w:rPr>
      </w:pPr>
    </w:p>
    <w:p w:rsidR="00894837" w:rsidRPr="00F7559D" w:rsidRDefault="00F7559D" w:rsidP="00F7559D">
      <w:pPr>
        <w:overflowPunct w:val="0"/>
        <w:autoSpaceDE w:val="0"/>
        <w:autoSpaceDN w:val="0"/>
        <w:adjustRightInd w:val="0"/>
        <w:spacing w:line="276" w:lineRule="auto"/>
        <w:jc w:val="both"/>
        <w:textAlignment w:val="baseline"/>
        <w:rPr>
          <w:rFonts w:ascii="Humnst777 BT" w:hAnsi="Humnst777 BT"/>
          <w:b/>
          <w:color w:val="000080"/>
          <w:lang w:eastAsia="en-GB"/>
        </w:rPr>
      </w:pPr>
      <w:r w:rsidRPr="00F7559D">
        <w:rPr>
          <w:rFonts w:ascii="Humnst777 BT" w:hAnsi="Humnst777 BT"/>
          <w:b/>
          <w:color w:val="000080"/>
          <w:lang w:eastAsia="en-GB"/>
        </w:rPr>
        <w:lastRenderedPageBreak/>
        <w:t>ADDITIONAL REQUIREMENTS</w:t>
      </w:r>
    </w:p>
    <w:p w:rsidR="00894837" w:rsidRDefault="00894837" w:rsidP="00894837">
      <w:pPr>
        <w:tabs>
          <w:tab w:val="right" w:pos="7920"/>
        </w:tabs>
        <w:jc w:val="both"/>
        <w:rPr>
          <w:rFonts w:ascii="Humnst777 BT" w:hAnsi="Humnst777 BT"/>
        </w:rPr>
      </w:pPr>
    </w:p>
    <w:p w:rsidR="00894837" w:rsidRPr="006D79BB" w:rsidRDefault="00894837" w:rsidP="00F7559D">
      <w:pPr>
        <w:pStyle w:val="ListParagraph"/>
        <w:numPr>
          <w:ilvl w:val="0"/>
          <w:numId w:val="3"/>
        </w:numPr>
        <w:tabs>
          <w:tab w:val="num" w:pos="567"/>
        </w:tabs>
        <w:suppressAutoHyphens/>
        <w:spacing w:before="120" w:after="120" w:line="276" w:lineRule="auto"/>
        <w:ind w:left="567" w:hanging="567"/>
        <w:jc w:val="both"/>
        <w:rPr>
          <w:rFonts w:ascii="Humnst777 BT" w:hAnsi="Humnst777 BT"/>
        </w:rPr>
      </w:pPr>
      <w:r>
        <w:rPr>
          <w:rFonts w:ascii="Humnst777 BT" w:hAnsi="Humnst777 BT"/>
        </w:rPr>
        <w:t xml:space="preserve">Students must retain access to appropriate </w:t>
      </w:r>
      <w:r w:rsidRPr="006D79BB">
        <w:rPr>
          <w:rFonts w:ascii="Humnst777 BT" w:hAnsi="Humnst777 BT"/>
        </w:rPr>
        <w:t>work-based activities throughout their studies. A student who is no longer working in a voluntary or paid capacity for 15 hours per week will not be able to fulfil the requirements of the programme. The College will provide support in helping the student to find alternative work. A student who cannot engage with the minimum of 15 hours of work is also highly likely to be in a position where they are unable to engage fully with their studies, and the programme director might recommend an interruption. Alternatively, the programme might recommend that the student transfers into the undergraduate Health Studies suite at Canterbury.</w:t>
      </w:r>
    </w:p>
    <w:p w:rsidR="00894837" w:rsidRPr="006D79BB" w:rsidRDefault="00894837" w:rsidP="00894837">
      <w:pPr>
        <w:tabs>
          <w:tab w:val="right" w:pos="7920"/>
        </w:tabs>
        <w:jc w:val="both"/>
        <w:rPr>
          <w:rFonts w:ascii="Humnst777 BT" w:hAnsi="Humnst777 BT"/>
        </w:rPr>
      </w:pPr>
    </w:p>
    <w:p w:rsidR="00894837" w:rsidRPr="00F7559D" w:rsidRDefault="00F7559D" w:rsidP="00F7559D">
      <w:pPr>
        <w:overflowPunct w:val="0"/>
        <w:autoSpaceDE w:val="0"/>
        <w:autoSpaceDN w:val="0"/>
        <w:adjustRightInd w:val="0"/>
        <w:spacing w:line="276" w:lineRule="auto"/>
        <w:jc w:val="both"/>
        <w:textAlignment w:val="baseline"/>
        <w:rPr>
          <w:rFonts w:ascii="Humnst777 BT" w:hAnsi="Humnst777 BT"/>
          <w:b/>
          <w:color w:val="000080"/>
          <w:lang w:eastAsia="en-GB"/>
        </w:rPr>
      </w:pPr>
      <w:r w:rsidRPr="00F7559D">
        <w:rPr>
          <w:rFonts w:ascii="Humnst777 BT" w:hAnsi="Humnst777 BT"/>
          <w:b/>
          <w:color w:val="000080"/>
          <w:lang w:eastAsia="en-GB"/>
        </w:rPr>
        <w:t>ASSESSMENT</w:t>
      </w:r>
    </w:p>
    <w:p w:rsidR="00894837" w:rsidRPr="006D79BB" w:rsidRDefault="00894837" w:rsidP="00894837">
      <w:pPr>
        <w:tabs>
          <w:tab w:val="right" w:pos="7920"/>
        </w:tabs>
        <w:jc w:val="both"/>
        <w:rPr>
          <w:rFonts w:ascii="Humnst777 BT" w:hAnsi="Humnst777 BT"/>
        </w:rPr>
      </w:pPr>
    </w:p>
    <w:p w:rsidR="00894837" w:rsidRPr="006D79BB" w:rsidRDefault="00894837" w:rsidP="00F7559D">
      <w:pPr>
        <w:pStyle w:val="ListParagraph"/>
        <w:numPr>
          <w:ilvl w:val="0"/>
          <w:numId w:val="3"/>
        </w:numPr>
        <w:tabs>
          <w:tab w:val="num" w:pos="567"/>
        </w:tabs>
        <w:suppressAutoHyphens/>
        <w:spacing w:before="120" w:after="120" w:line="276" w:lineRule="auto"/>
        <w:ind w:left="567" w:hanging="567"/>
        <w:jc w:val="both"/>
        <w:rPr>
          <w:rFonts w:ascii="Humnst777 BT" w:hAnsi="Humnst777 BT"/>
        </w:rPr>
      </w:pPr>
      <w:r w:rsidRPr="006D79BB">
        <w:rPr>
          <w:rFonts w:ascii="Humnst777 BT" w:hAnsi="Humnst777 BT"/>
        </w:rPr>
        <w:t>Students must pass all summative self-reflection and work-based task assignments. These will be marked as either Pass (P) or Fail (F).</w:t>
      </w:r>
    </w:p>
    <w:p w:rsidR="00894837" w:rsidRPr="006D79BB" w:rsidRDefault="00894837" w:rsidP="00894837">
      <w:pPr>
        <w:tabs>
          <w:tab w:val="right" w:pos="7920"/>
        </w:tabs>
        <w:jc w:val="both"/>
        <w:rPr>
          <w:rFonts w:ascii="Humnst777 BT" w:hAnsi="Humnst777 BT"/>
        </w:rPr>
      </w:pPr>
    </w:p>
    <w:p w:rsidR="00894837" w:rsidRPr="00F7559D" w:rsidRDefault="00F7559D" w:rsidP="00F7559D">
      <w:pPr>
        <w:overflowPunct w:val="0"/>
        <w:autoSpaceDE w:val="0"/>
        <w:autoSpaceDN w:val="0"/>
        <w:adjustRightInd w:val="0"/>
        <w:spacing w:line="276" w:lineRule="auto"/>
        <w:jc w:val="both"/>
        <w:textAlignment w:val="baseline"/>
        <w:rPr>
          <w:rFonts w:ascii="Humnst777 BT" w:hAnsi="Humnst777 BT"/>
          <w:b/>
          <w:color w:val="000080"/>
          <w:lang w:eastAsia="en-GB"/>
        </w:rPr>
      </w:pPr>
      <w:r w:rsidRPr="00F7559D">
        <w:rPr>
          <w:rFonts w:ascii="Humnst777 BT" w:hAnsi="Humnst777 BT"/>
          <w:b/>
          <w:color w:val="000080"/>
          <w:lang w:eastAsia="en-GB"/>
        </w:rPr>
        <w:t>LEARNING AGREEMENT</w:t>
      </w:r>
    </w:p>
    <w:p w:rsidR="00894837" w:rsidRDefault="00894837" w:rsidP="00894837">
      <w:pPr>
        <w:rPr>
          <w:rFonts w:ascii="Humnst777 BT" w:hAnsi="Humnst777 BT"/>
        </w:rPr>
      </w:pPr>
    </w:p>
    <w:p w:rsidR="00894837" w:rsidRDefault="00894837" w:rsidP="00F7559D">
      <w:pPr>
        <w:pStyle w:val="ListParagraph"/>
        <w:numPr>
          <w:ilvl w:val="0"/>
          <w:numId w:val="3"/>
        </w:numPr>
        <w:tabs>
          <w:tab w:val="num" w:pos="567"/>
        </w:tabs>
        <w:suppressAutoHyphens/>
        <w:spacing w:before="120" w:after="120" w:line="276" w:lineRule="auto"/>
        <w:ind w:left="567" w:hanging="567"/>
        <w:jc w:val="both"/>
        <w:rPr>
          <w:rFonts w:ascii="Humnst777 BT" w:hAnsi="Humnst777 BT"/>
        </w:rPr>
      </w:pPr>
      <w:r w:rsidRPr="00EB0EA2">
        <w:rPr>
          <w:rFonts w:ascii="Humnst777 BT" w:hAnsi="Humnst777 BT"/>
        </w:rPr>
        <w:t xml:space="preserve">Once an applicant has been accepted to study the Foundation Degree Health Promotion and Public </w:t>
      </w:r>
      <w:r>
        <w:rPr>
          <w:rFonts w:ascii="Humnst777 BT" w:hAnsi="Humnst777 BT"/>
        </w:rPr>
        <w:t xml:space="preserve">Health at Bromley College they will be invited to the College’s Student Induction in September. This includes enrolment and orientation to the College. The student will be given the Learning Agreement </w:t>
      </w:r>
      <w:r w:rsidRPr="00A8065C">
        <w:rPr>
          <w:rFonts w:ascii="Humnst777 BT" w:hAnsi="Humnst777 BT"/>
        </w:rPr>
        <w:t>(Appendix X</w:t>
      </w:r>
      <w:r w:rsidR="00DE58C9">
        <w:rPr>
          <w:rFonts w:ascii="Humnst777 BT" w:hAnsi="Humnst777 BT"/>
        </w:rPr>
        <w:t xml:space="preserve"> of the Programme Specification</w:t>
      </w:r>
      <w:r w:rsidRPr="00A8065C">
        <w:rPr>
          <w:rFonts w:ascii="Humnst777 BT" w:hAnsi="Humnst777 BT"/>
        </w:rPr>
        <w:t xml:space="preserve">) </w:t>
      </w:r>
      <w:r>
        <w:rPr>
          <w:rFonts w:ascii="Humnst777 BT" w:hAnsi="Humnst777 BT"/>
        </w:rPr>
        <w:t>and asked to take this to their employer for reading, discussing with the student, and signing.  The College need to receive a signed copy of this learning agreement on or before the first teaching day of the programme, in late September. If the College has not received this, the Higher Education administrator will follow this up. The work-based facilitator will be available to answer any employer or student queries in relation to the learning agreement and the work-based learning requirements. A student who does not have a signed learning agreement will not be able to engage with the requirements of the programme and would need to be withdrawn.</w:t>
      </w:r>
      <w:bookmarkStart w:id="0" w:name="_GoBack"/>
      <w:bookmarkEnd w:id="0"/>
    </w:p>
    <w:p w:rsidR="00894837" w:rsidRPr="00FF19DF" w:rsidRDefault="00894837" w:rsidP="00894837">
      <w:pPr>
        <w:tabs>
          <w:tab w:val="right" w:pos="7920"/>
        </w:tabs>
        <w:jc w:val="both"/>
        <w:rPr>
          <w:rFonts w:ascii="Humnst777 BT" w:hAnsi="Humnst777 BT"/>
        </w:rPr>
      </w:pPr>
    </w:p>
    <w:p w:rsidR="008775C0" w:rsidRPr="00F7559D" w:rsidRDefault="00F7559D">
      <w:pPr>
        <w:rPr>
          <w:rFonts w:ascii="Humnst777 BT" w:hAnsi="Humnst777 BT"/>
        </w:rPr>
      </w:pPr>
      <w:r w:rsidRPr="00F7559D">
        <w:rPr>
          <w:rFonts w:ascii="Humnst777 BT" w:hAnsi="Humnst777 BT"/>
        </w:rPr>
        <w:t>Approved</w:t>
      </w:r>
      <w:r>
        <w:rPr>
          <w:rFonts w:ascii="Humnst777 BT" w:hAnsi="Humnst777 BT"/>
        </w:rPr>
        <w:t xml:space="preserve"> by Academic Board, 14/07/2016.</w:t>
      </w:r>
    </w:p>
    <w:sectPr w:rsidR="008775C0" w:rsidRPr="00F755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9D" w:rsidRDefault="00F7559D" w:rsidP="00F7559D">
      <w:r>
        <w:separator/>
      </w:r>
    </w:p>
  </w:endnote>
  <w:endnote w:type="continuationSeparator" w:id="0">
    <w:p w:rsidR="00F7559D" w:rsidRDefault="00F7559D" w:rsidP="00F7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366530"/>
      <w:docPartObj>
        <w:docPartGallery w:val="Page Numbers (Bottom of Page)"/>
        <w:docPartUnique/>
      </w:docPartObj>
    </w:sdtPr>
    <w:sdtEndPr>
      <w:rPr>
        <w:noProof/>
      </w:rPr>
    </w:sdtEndPr>
    <w:sdtContent>
      <w:p w:rsidR="00F7559D" w:rsidRDefault="00F7559D">
        <w:pPr>
          <w:pStyle w:val="Footer"/>
          <w:jc w:val="center"/>
        </w:pPr>
        <w:r w:rsidRPr="00F7559D">
          <w:rPr>
            <w:rFonts w:ascii="Humnst777 BT" w:hAnsi="Humnst777 BT"/>
          </w:rPr>
          <w:fldChar w:fldCharType="begin"/>
        </w:r>
        <w:r w:rsidRPr="00F7559D">
          <w:rPr>
            <w:rFonts w:ascii="Humnst777 BT" w:hAnsi="Humnst777 BT"/>
          </w:rPr>
          <w:instrText xml:space="preserve"> PAGE   \* MERGEFORMAT </w:instrText>
        </w:r>
        <w:r w:rsidRPr="00F7559D">
          <w:rPr>
            <w:rFonts w:ascii="Humnst777 BT" w:hAnsi="Humnst777 BT"/>
          </w:rPr>
          <w:fldChar w:fldCharType="separate"/>
        </w:r>
        <w:r w:rsidR="008308B0">
          <w:rPr>
            <w:rFonts w:ascii="Humnst777 BT" w:hAnsi="Humnst777 BT"/>
            <w:noProof/>
          </w:rPr>
          <w:t>1</w:t>
        </w:r>
        <w:r w:rsidRPr="00F7559D">
          <w:rPr>
            <w:rFonts w:ascii="Humnst777 BT" w:hAnsi="Humnst777 BT"/>
            <w:noProof/>
          </w:rPr>
          <w:fldChar w:fldCharType="end"/>
        </w:r>
      </w:p>
    </w:sdtContent>
  </w:sdt>
  <w:p w:rsidR="00F7559D" w:rsidRDefault="00F75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9D" w:rsidRDefault="00F7559D" w:rsidP="00F7559D">
      <w:r>
        <w:separator/>
      </w:r>
    </w:p>
  </w:footnote>
  <w:footnote w:type="continuationSeparator" w:id="0">
    <w:p w:rsidR="00F7559D" w:rsidRDefault="00F7559D" w:rsidP="00F75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A3614"/>
    <w:multiLevelType w:val="hybridMultilevel"/>
    <w:tmpl w:val="9F502C68"/>
    <w:lvl w:ilvl="0" w:tplc="FB7C7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90DB1"/>
    <w:multiLevelType w:val="hybridMultilevel"/>
    <w:tmpl w:val="D14A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24C5D"/>
    <w:multiLevelType w:val="hybridMultilevel"/>
    <w:tmpl w:val="D5DA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37"/>
    <w:rsid w:val="00526631"/>
    <w:rsid w:val="008308B0"/>
    <w:rsid w:val="00894837"/>
    <w:rsid w:val="0092150E"/>
    <w:rsid w:val="00DE58C9"/>
    <w:rsid w:val="00F7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182AF-D604-4100-A5F6-3FA1A23B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37"/>
    <w:pPr>
      <w:ind w:left="720"/>
      <w:contextualSpacing/>
    </w:pPr>
  </w:style>
  <w:style w:type="paragraph" w:styleId="Header">
    <w:name w:val="header"/>
    <w:basedOn w:val="Normal"/>
    <w:link w:val="HeaderChar"/>
    <w:uiPriority w:val="99"/>
    <w:unhideWhenUsed/>
    <w:rsid w:val="00F7559D"/>
    <w:pPr>
      <w:tabs>
        <w:tab w:val="center" w:pos="4513"/>
        <w:tab w:val="right" w:pos="9026"/>
      </w:tabs>
    </w:pPr>
  </w:style>
  <w:style w:type="character" w:customStyle="1" w:styleId="HeaderChar">
    <w:name w:val="Header Char"/>
    <w:basedOn w:val="DefaultParagraphFont"/>
    <w:link w:val="Header"/>
    <w:uiPriority w:val="99"/>
    <w:rsid w:val="00F7559D"/>
  </w:style>
  <w:style w:type="paragraph" w:styleId="Footer">
    <w:name w:val="footer"/>
    <w:basedOn w:val="Normal"/>
    <w:link w:val="FooterChar"/>
    <w:uiPriority w:val="99"/>
    <w:unhideWhenUsed/>
    <w:rsid w:val="00F7559D"/>
    <w:pPr>
      <w:tabs>
        <w:tab w:val="center" w:pos="4513"/>
        <w:tab w:val="right" w:pos="9026"/>
      </w:tabs>
    </w:pPr>
  </w:style>
  <w:style w:type="character" w:customStyle="1" w:styleId="FooterChar">
    <w:name w:val="Footer Char"/>
    <w:basedOn w:val="DefaultParagraphFont"/>
    <w:link w:val="Footer"/>
    <w:uiPriority w:val="99"/>
    <w:rsid w:val="00F75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BA07E4F7</Template>
  <TotalTime>9</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ls452</dc:creator>
  <cp:lastModifiedBy>Collins, Suzanne (suzanne.collins@canterbury.ac.uk)</cp:lastModifiedBy>
  <cp:revision>3</cp:revision>
  <dcterms:created xsi:type="dcterms:W3CDTF">2016-08-26T13:03:00Z</dcterms:created>
  <dcterms:modified xsi:type="dcterms:W3CDTF">2016-08-31T13:24:00Z</dcterms:modified>
</cp:coreProperties>
</file>