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74B7" w14:textId="5FAB056B" w:rsidR="00446082" w:rsidRPr="00234897" w:rsidRDefault="00446082" w:rsidP="00D12379">
      <w:pPr>
        <w:overflowPunct w:val="0"/>
        <w:autoSpaceDE w:val="0"/>
        <w:autoSpaceDN w:val="0"/>
        <w:adjustRightInd w:val="0"/>
        <w:spacing w:before="120" w:after="120" w:line="240" w:lineRule="auto"/>
        <w:jc w:val="center"/>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333399"/>
          <w:lang w:eastAsia="en-GB"/>
        </w:rPr>
        <w:t>SPECIAL REGULATIONS: BA (HONS) PRIMARY EDUCATION</w:t>
      </w:r>
    </w:p>
    <w:p w14:paraId="43823DE3" w14:textId="77777777" w:rsidR="00446082" w:rsidRPr="00234897" w:rsidRDefault="00446082"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000080"/>
          <w:lang w:eastAsia="en-GB"/>
        </w:rPr>
        <w:t>INTRODUCTION</w:t>
      </w:r>
    </w:p>
    <w:p w14:paraId="1BCB4819" w14:textId="75820E11" w:rsidR="00446082" w:rsidRPr="00234897" w:rsidRDefault="00446082" w:rsidP="00D12379">
      <w:pPr>
        <w:numPr>
          <w:ilvl w:val="0"/>
          <w:numId w:val="33"/>
        </w:numPr>
        <w:overflowPunct w:val="0"/>
        <w:autoSpaceDE w:val="0"/>
        <w:autoSpaceDN w:val="0"/>
        <w:adjustRightInd w:val="0"/>
        <w:spacing w:before="120" w:after="120" w:line="240" w:lineRule="auto"/>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The Special Regulations relate only to the following:</w:t>
      </w:r>
    </w:p>
    <w:p w14:paraId="7DDEA2CC" w14:textId="77777777" w:rsidR="0046260D" w:rsidRDefault="00446082" w:rsidP="00D12379">
      <w:pPr>
        <w:spacing w:before="120" w:after="120" w:line="240" w:lineRule="auto"/>
        <w:ind w:left="1134"/>
        <w:jc w:val="both"/>
        <w:rPr>
          <w:rFonts w:ascii="Humnst777 BT" w:eastAsia="Times New Roman" w:hAnsi="Humnst777 BT" w:cs="Humnst777 BT"/>
          <w:lang w:eastAsia="en-GB"/>
        </w:rPr>
      </w:pPr>
      <w:r w:rsidRPr="00234897">
        <w:rPr>
          <w:rFonts w:ascii="Humnst777 BT" w:eastAsia="Times New Roman" w:hAnsi="Humnst777 BT" w:cs="Humnst777 BT"/>
          <w:lang w:eastAsia="en-GB"/>
        </w:rPr>
        <w:t>BA (Hons) Primary Education (Full-time and Part-time)</w:t>
      </w:r>
    </w:p>
    <w:p w14:paraId="609996F6" w14:textId="1FD13B26" w:rsidR="00446082" w:rsidRPr="00234897" w:rsidRDefault="00837DA4" w:rsidP="00BB39CD">
      <w:pPr>
        <w:spacing w:before="120" w:after="120" w:line="240" w:lineRule="auto"/>
        <w:ind w:left="1134"/>
        <w:jc w:val="both"/>
        <w:rPr>
          <w:rFonts w:ascii="Humnst777 BT" w:eastAsia="Times New Roman" w:hAnsi="Humnst777 BT" w:cs="Humnst777 BT"/>
          <w:lang w:eastAsia="en-GB"/>
        </w:rPr>
      </w:pPr>
      <w:r>
        <w:rPr>
          <w:rFonts w:ascii="Humnst777 BT" w:eastAsia="Times New Roman" w:hAnsi="Humnst777 BT" w:cs="Humnst777 BT"/>
          <w:lang w:eastAsia="en-GB"/>
        </w:rPr>
        <w:t>BA (Hons) Primary Education with Foundation Year</w:t>
      </w:r>
    </w:p>
    <w:p w14:paraId="6C8140A8" w14:textId="77777777" w:rsidR="00837DA4" w:rsidRDefault="00446082" w:rsidP="00D12379">
      <w:pPr>
        <w:spacing w:before="120" w:after="120" w:line="240" w:lineRule="auto"/>
        <w:ind w:left="1134"/>
        <w:jc w:val="both"/>
        <w:rPr>
          <w:rFonts w:ascii="Humnst777 BT" w:eastAsia="Times New Roman" w:hAnsi="Humnst777 BT" w:cs="Humnst777 BT"/>
          <w:lang w:eastAsia="en-GB"/>
        </w:rPr>
      </w:pPr>
      <w:r w:rsidRPr="00234897">
        <w:rPr>
          <w:rFonts w:ascii="Humnst777 BT" w:eastAsia="Times New Roman" w:hAnsi="Humnst777 BT" w:cs="Humnst777 BT"/>
          <w:lang w:eastAsia="en-GB"/>
        </w:rPr>
        <w:t>BA (Hons) Primary Education with Mathematics Specialism</w:t>
      </w:r>
    </w:p>
    <w:p w14:paraId="35C8BDB5" w14:textId="4C566F79" w:rsidR="00446082" w:rsidRDefault="00837DA4" w:rsidP="00D12379">
      <w:pPr>
        <w:spacing w:before="120" w:after="120" w:line="240" w:lineRule="auto"/>
        <w:ind w:left="1134"/>
        <w:jc w:val="both"/>
        <w:rPr>
          <w:rFonts w:ascii="Humnst777 BT" w:eastAsia="Times New Roman" w:hAnsi="Humnst777 BT" w:cs="Humnst777 BT"/>
          <w:lang w:eastAsia="en-GB"/>
        </w:rPr>
      </w:pPr>
      <w:r>
        <w:rPr>
          <w:rFonts w:ascii="Humnst777 BT" w:eastAsia="Times New Roman" w:hAnsi="Humnst777 BT" w:cs="Humnst777 BT"/>
          <w:lang w:eastAsia="en-GB"/>
        </w:rPr>
        <w:t>BA (Hons) Primary Education with Mathematics Specialism with Foundation Year</w:t>
      </w:r>
    </w:p>
    <w:p w14:paraId="066C71B2" w14:textId="38D6DFF8" w:rsidR="009B1E4A" w:rsidRDefault="00837DA4" w:rsidP="00B22C2D">
      <w:pPr>
        <w:numPr>
          <w:ilvl w:val="0"/>
          <w:numId w:val="33"/>
        </w:numPr>
        <w:overflowPunct w:val="0"/>
        <w:autoSpaceDE w:val="0"/>
        <w:autoSpaceDN w:val="0"/>
        <w:adjustRightInd w:val="0"/>
        <w:spacing w:before="120" w:after="120" w:line="240" w:lineRule="auto"/>
        <w:jc w:val="both"/>
        <w:textAlignment w:val="baseline"/>
        <w:rPr>
          <w:rFonts w:ascii="Humnst777 BT" w:eastAsia="Times New Roman" w:hAnsi="Humnst777 BT" w:cs="Times New Roman"/>
          <w:lang w:eastAsia="en-GB"/>
        </w:rPr>
      </w:pPr>
      <w:r>
        <w:rPr>
          <w:rFonts w:ascii="Humnst777 BT" w:eastAsia="Times New Roman" w:hAnsi="Humnst777 BT" w:cs="Times New Roman"/>
          <w:lang w:eastAsia="en-GB"/>
        </w:rPr>
        <w:t>A</w:t>
      </w:r>
      <w:r w:rsidR="009B1E4A" w:rsidRPr="002E1C7F">
        <w:rPr>
          <w:rFonts w:ascii="Humnst777 BT" w:eastAsia="Times New Roman" w:hAnsi="Humnst777 BT" w:cs="Times New Roman"/>
          <w:lang w:eastAsia="en-GB"/>
        </w:rPr>
        <w:t>wards may be made with or without a recommendation for Qualified Teacher Status</w:t>
      </w:r>
      <w:r w:rsidR="002E1C7F">
        <w:rPr>
          <w:rFonts w:ascii="Humnst777 BT" w:eastAsia="Times New Roman" w:hAnsi="Humnst777 BT" w:cs="Times New Roman"/>
          <w:lang w:eastAsia="en-GB"/>
        </w:rPr>
        <w:t xml:space="preserve"> (QTS)</w:t>
      </w:r>
      <w:r w:rsidR="009B1E4A" w:rsidRPr="002E1C7F">
        <w:rPr>
          <w:rFonts w:ascii="Humnst777 BT" w:eastAsia="Times New Roman" w:hAnsi="Humnst777 BT" w:cs="Times New Roman"/>
          <w:lang w:eastAsia="en-GB"/>
        </w:rPr>
        <w:t>.</w:t>
      </w:r>
    </w:p>
    <w:p w14:paraId="43A7271D" w14:textId="374B673A" w:rsidR="00837DA4" w:rsidRPr="002E1C7F" w:rsidRDefault="00837DA4" w:rsidP="00B22C2D">
      <w:pPr>
        <w:numPr>
          <w:ilvl w:val="0"/>
          <w:numId w:val="33"/>
        </w:numPr>
        <w:overflowPunct w:val="0"/>
        <w:autoSpaceDE w:val="0"/>
        <w:autoSpaceDN w:val="0"/>
        <w:adjustRightInd w:val="0"/>
        <w:spacing w:before="120" w:after="120" w:line="240" w:lineRule="auto"/>
        <w:jc w:val="both"/>
        <w:textAlignment w:val="baseline"/>
        <w:rPr>
          <w:rFonts w:ascii="Humnst777 BT" w:eastAsia="Times New Roman" w:hAnsi="Humnst777 BT" w:cs="Times New Roman"/>
          <w:lang w:eastAsia="en-GB"/>
        </w:rPr>
      </w:pPr>
      <w:r>
        <w:rPr>
          <w:rFonts w:ascii="Humnst777 BT" w:eastAsia="Times New Roman" w:hAnsi="Humnst777 BT" w:cs="Times New Roman"/>
          <w:lang w:eastAsia="en-GB"/>
        </w:rPr>
        <w:t>With the exception of the section on A</w:t>
      </w:r>
      <w:r w:rsidR="006B5212">
        <w:rPr>
          <w:rFonts w:ascii="Humnst777 BT" w:eastAsia="Times New Roman" w:hAnsi="Humnst777 BT" w:cs="Times New Roman"/>
          <w:lang w:eastAsia="en-GB"/>
        </w:rPr>
        <w:t>dmissions, the following S</w:t>
      </w:r>
      <w:r>
        <w:rPr>
          <w:rFonts w:ascii="Humnst777 BT" w:eastAsia="Times New Roman" w:hAnsi="Humnst777 BT" w:cs="Times New Roman"/>
          <w:lang w:eastAsia="en-GB"/>
        </w:rPr>
        <w:t xml:space="preserve">pecial </w:t>
      </w:r>
      <w:r w:rsidR="006B5212">
        <w:rPr>
          <w:rFonts w:ascii="Humnst777 BT" w:eastAsia="Times New Roman" w:hAnsi="Humnst777 BT" w:cs="Times New Roman"/>
          <w:lang w:eastAsia="en-GB"/>
        </w:rPr>
        <w:t>R</w:t>
      </w:r>
      <w:r>
        <w:rPr>
          <w:rFonts w:ascii="Humnst777 BT" w:eastAsia="Times New Roman" w:hAnsi="Humnst777 BT" w:cs="Times New Roman"/>
          <w:lang w:eastAsia="en-GB"/>
        </w:rPr>
        <w:t>egulation</w:t>
      </w:r>
      <w:r w:rsidR="005F3030">
        <w:rPr>
          <w:rFonts w:ascii="Humnst777 BT" w:eastAsia="Times New Roman" w:hAnsi="Humnst777 BT" w:cs="Times New Roman"/>
          <w:lang w:eastAsia="en-GB"/>
        </w:rPr>
        <w:t>s</w:t>
      </w:r>
      <w:r>
        <w:rPr>
          <w:rFonts w:ascii="Humnst777 BT" w:eastAsia="Times New Roman" w:hAnsi="Humnst777 BT" w:cs="Times New Roman"/>
          <w:lang w:eastAsia="en-GB"/>
        </w:rPr>
        <w:t xml:space="preserve"> apply only to levels 4, 5 and 6 of the </w:t>
      </w:r>
      <w:r w:rsidR="002F3E3E">
        <w:rPr>
          <w:rFonts w:ascii="Humnst777 BT" w:eastAsia="Times New Roman" w:hAnsi="Humnst777 BT" w:cs="Times New Roman"/>
          <w:lang w:eastAsia="en-GB"/>
        </w:rPr>
        <w:t xml:space="preserve">above </w:t>
      </w:r>
      <w:r>
        <w:rPr>
          <w:rFonts w:ascii="Humnst777 BT" w:eastAsia="Times New Roman" w:hAnsi="Humnst777 BT" w:cs="Times New Roman"/>
          <w:lang w:eastAsia="en-GB"/>
        </w:rPr>
        <w:t xml:space="preserve">programmes.  </w:t>
      </w:r>
    </w:p>
    <w:p w14:paraId="79C7CAD1" w14:textId="220387E6" w:rsidR="00960560" w:rsidRPr="00234897" w:rsidRDefault="00960560" w:rsidP="00D12379">
      <w:pPr>
        <w:spacing w:before="120" w:after="120" w:line="240" w:lineRule="auto"/>
        <w:jc w:val="both"/>
        <w:rPr>
          <w:rFonts w:ascii="Humnst777 BT" w:hAnsi="Humnst777 BT"/>
          <w:b/>
        </w:rPr>
      </w:pPr>
    </w:p>
    <w:p w14:paraId="7C814876" w14:textId="1D4078EB" w:rsidR="00061BF3" w:rsidRPr="00234897" w:rsidRDefault="00061BF3"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000080"/>
          <w:lang w:eastAsia="en-GB"/>
        </w:rPr>
        <w:t>ADMISSION</w:t>
      </w:r>
    </w:p>
    <w:p w14:paraId="43FDD778" w14:textId="6503449F" w:rsidR="00061BF3" w:rsidRPr="00234897" w:rsidRDefault="00061BF3" w:rsidP="00D12379">
      <w:pPr>
        <w:numPr>
          <w:ilvl w:val="0"/>
          <w:numId w:val="33"/>
        </w:numPr>
        <w:spacing w:before="120" w:after="120" w:line="240" w:lineRule="auto"/>
        <w:jc w:val="both"/>
        <w:rPr>
          <w:rFonts w:ascii="Humnst777 BT" w:hAnsi="Humnst777 BT"/>
          <w:b/>
          <w:bCs/>
        </w:rPr>
      </w:pPr>
      <w:r w:rsidRPr="00234897">
        <w:rPr>
          <w:rFonts w:ascii="Humnst777 BT" w:hAnsi="Humnst777 BT"/>
        </w:rPr>
        <w:t xml:space="preserve">Entrants to BA (Hons) Primary Education are required to meet the entry requirements specified by the Department for Education, or other regulatory body created by Department of Education.  </w:t>
      </w:r>
      <w:r w:rsidR="009B1E4A" w:rsidRPr="002E1C7F">
        <w:rPr>
          <w:rFonts w:ascii="Humnst777 BT" w:hAnsi="Humnst777 BT"/>
        </w:rPr>
        <w:t>The</w:t>
      </w:r>
      <w:r w:rsidR="009B1E4A">
        <w:rPr>
          <w:rFonts w:ascii="Humnst777 BT" w:hAnsi="Humnst777 BT"/>
        </w:rPr>
        <w:t xml:space="preserve"> </w:t>
      </w:r>
      <w:r w:rsidRPr="00234897">
        <w:rPr>
          <w:rFonts w:ascii="Humnst777 BT" w:hAnsi="Humnst777 BT"/>
        </w:rPr>
        <w:t>University may offer candidates, not appropriately qualified, the opportunity to take equivalent University tests in English</w:t>
      </w:r>
      <w:r w:rsidR="008016E8">
        <w:rPr>
          <w:rFonts w:ascii="Humnst777 BT" w:hAnsi="Humnst777 BT"/>
        </w:rPr>
        <w:t xml:space="preserve"> Language</w:t>
      </w:r>
      <w:r w:rsidRPr="00234897">
        <w:rPr>
          <w:rFonts w:ascii="Humnst777 BT" w:hAnsi="Humnst777 BT"/>
        </w:rPr>
        <w:t xml:space="preserve">, Mathematics and Science. </w:t>
      </w:r>
    </w:p>
    <w:p w14:paraId="7C3FEE2E" w14:textId="77777777" w:rsidR="00061BF3" w:rsidRPr="00234897" w:rsidRDefault="00061BF3" w:rsidP="00D12379">
      <w:pPr>
        <w:numPr>
          <w:ilvl w:val="0"/>
          <w:numId w:val="33"/>
        </w:numPr>
        <w:spacing w:before="120" w:after="120" w:line="240" w:lineRule="auto"/>
        <w:jc w:val="both"/>
        <w:rPr>
          <w:rFonts w:ascii="Humnst777 BT" w:hAnsi="Humnst777 BT"/>
          <w:b/>
          <w:bCs/>
          <w:color w:val="000099"/>
        </w:rPr>
      </w:pPr>
      <w:r w:rsidRPr="00234897">
        <w:rPr>
          <w:rFonts w:ascii="Humnst777 BT" w:hAnsi="Humnst777 BT"/>
        </w:rPr>
        <w:t>Entrants to Initial Teacher Education programmes are required to meet the requirements specified by Department for Education in relation to the capacity to meet the Teachers’ Standards and the physi</w:t>
      </w:r>
      <w:r w:rsidRPr="00234897">
        <w:rPr>
          <w:rFonts w:ascii="Humnst777 BT" w:hAnsi="Humnst777 BT" w:cs="Arial"/>
        </w:rPr>
        <w:t>cal and mental fitness to teach.</w:t>
      </w:r>
    </w:p>
    <w:p w14:paraId="3BA167E0" w14:textId="482A9565" w:rsidR="00061BF3" w:rsidRPr="00234897" w:rsidRDefault="00061BF3" w:rsidP="00D12379">
      <w:pPr>
        <w:numPr>
          <w:ilvl w:val="0"/>
          <w:numId w:val="33"/>
        </w:numPr>
        <w:tabs>
          <w:tab w:val="left" w:pos="360"/>
        </w:tabs>
        <w:suppressAutoHyphens/>
        <w:spacing w:before="120" w:after="120" w:line="240" w:lineRule="auto"/>
        <w:jc w:val="both"/>
        <w:rPr>
          <w:rFonts w:ascii="Humnst777 BT" w:hAnsi="Humnst777 BT"/>
        </w:rPr>
      </w:pPr>
      <w:r w:rsidRPr="00234897">
        <w:rPr>
          <w:rFonts w:ascii="Humnst777 BT" w:hAnsi="Humnst777 BT"/>
        </w:rPr>
        <w:t>All entrants must satisfy the requirements concerning clearance in relation to criminal convictions and any other requirements specified by the University, taking account of the requirements of the regulatory bodies, in relation to the protection of vulnerable persons.  Students must remain in good standing in relation to such requirements, including, where required, registration for the updating of certificates by the Disclosure and Barring Service.</w:t>
      </w:r>
    </w:p>
    <w:p w14:paraId="33CF3FB0" w14:textId="1BD181B9" w:rsidR="00061BF3" w:rsidRPr="00234897" w:rsidRDefault="00061BF3" w:rsidP="00D12379">
      <w:pPr>
        <w:numPr>
          <w:ilvl w:val="0"/>
          <w:numId w:val="33"/>
        </w:numPr>
        <w:spacing w:before="120" w:after="120" w:line="240" w:lineRule="auto"/>
        <w:jc w:val="both"/>
        <w:rPr>
          <w:rFonts w:ascii="Humnst777 BT" w:hAnsi="Humnst777 BT"/>
          <w:b/>
          <w:bCs/>
        </w:rPr>
      </w:pPr>
      <w:r w:rsidRPr="00234897">
        <w:rPr>
          <w:rFonts w:ascii="Humnst777 BT" w:hAnsi="Humnst777 BT"/>
        </w:rPr>
        <w:t xml:space="preserve">All short-listed applicants are required to undertake an interview, and complete any assessments prescribed as part of the selection process for the programme. </w:t>
      </w:r>
    </w:p>
    <w:p w14:paraId="310911D5" w14:textId="77777777" w:rsidR="00061BF3" w:rsidRPr="00234897" w:rsidRDefault="00061BF3" w:rsidP="00D12379">
      <w:pPr>
        <w:spacing w:before="120" w:after="120" w:line="240" w:lineRule="auto"/>
        <w:jc w:val="both"/>
        <w:rPr>
          <w:rFonts w:ascii="Humnst777 BT" w:hAnsi="Humnst777 BT"/>
          <w:b/>
        </w:rPr>
      </w:pPr>
    </w:p>
    <w:p w14:paraId="53B273C7" w14:textId="28A83713" w:rsidR="00AB5C62" w:rsidRPr="00234897" w:rsidRDefault="00061BF3"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000080"/>
          <w:lang w:eastAsia="en-GB"/>
        </w:rPr>
        <w:t>RECOGNITION OF PRIOR LEARNING</w:t>
      </w:r>
    </w:p>
    <w:p w14:paraId="78098244" w14:textId="5D1BDF87" w:rsidR="00E758ED" w:rsidRPr="002E1C7F" w:rsidRDefault="009B1E4A" w:rsidP="00E758ED">
      <w:pPr>
        <w:numPr>
          <w:ilvl w:val="0"/>
          <w:numId w:val="33"/>
        </w:numPr>
        <w:overflowPunct w:val="0"/>
        <w:autoSpaceDE w:val="0"/>
        <w:autoSpaceDN w:val="0"/>
        <w:adjustRightInd w:val="0"/>
        <w:spacing w:before="120" w:after="120" w:line="240" w:lineRule="auto"/>
        <w:jc w:val="both"/>
        <w:textAlignment w:val="baseline"/>
        <w:rPr>
          <w:rFonts w:eastAsia="Times New Roman" w:cs="Times New Roman"/>
          <w:lang w:eastAsia="en-GB"/>
        </w:rPr>
      </w:pPr>
      <w:r w:rsidRPr="002E1C7F">
        <w:rPr>
          <w:rFonts w:ascii="Humnst777 BT" w:eastAsia="Times New Roman" w:hAnsi="Humnst777 BT" w:cs="Times New Roman"/>
          <w:lang w:eastAsia="en-GB"/>
        </w:rPr>
        <w:t xml:space="preserve">Recognition of Prior Learning does not apply on programmes covered by these special regulations, except </w:t>
      </w:r>
      <w:r w:rsidR="002E1C7F">
        <w:rPr>
          <w:rFonts w:ascii="Humnst777 BT" w:eastAsia="Times New Roman" w:hAnsi="Humnst777 BT" w:cs="Times New Roman"/>
          <w:lang w:eastAsia="en-GB"/>
        </w:rPr>
        <w:t>that</w:t>
      </w:r>
      <w:r w:rsidR="00E758ED" w:rsidRPr="002E1C7F">
        <w:rPr>
          <w:rFonts w:ascii="Humnst777 BT" w:eastAsia="Times New Roman" w:hAnsi="Humnst777 BT" w:cs="Times New Roman"/>
          <w:lang w:eastAsia="en-GB"/>
        </w:rPr>
        <w:t xml:space="preserve"> applicants holding a Certificate of Education who can demonstrate that they have suitable experience equivalent to the first stage of the programme may be considered for Advanced Standing to Level 5.</w:t>
      </w:r>
    </w:p>
    <w:p w14:paraId="0070C512" w14:textId="673D8435" w:rsidR="00225E86" w:rsidRPr="00E758ED" w:rsidRDefault="009B1E4A" w:rsidP="00E758ED">
      <w:pPr>
        <w:numPr>
          <w:ilvl w:val="0"/>
          <w:numId w:val="33"/>
        </w:numPr>
        <w:overflowPunct w:val="0"/>
        <w:autoSpaceDE w:val="0"/>
        <w:autoSpaceDN w:val="0"/>
        <w:adjustRightInd w:val="0"/>
        <w:spacing w:before="120" w:after="120" w:line="240" w:lineRule="auto"/>
        <w:jc w:val="both"/>
        <w:textAlignment w:val="baseline"/>
        <w:rPr>
          <w:rFonts w:eastAsia="Times New Roman" w:cs="Times New Roman"/>
          <w:lang w:eastAsia="en-GB"/>
        </w:rPr>
      </w:pPr>
      <w:r w:rsidRPr="00E758ED">
        <w:rPr>
          <w:rFonts w:ascii="Humnst777 BT" w:eastAsia="Times New Roman" w:hAnsi="Humnst777 BT" w:cs="Times New Roman"/>
          <w:lang w:eastAsia="en-GB"/>
        </w:rPr>
        <w:t>A</w:t>
      </w:r>
      <w:r w:rsidR="002E1C7F">
        <w:rPr>
          <w:rFonts w:ascii="Humnst777 BT" w:eastAsia="Times New Roman" w:hAnsi="Humnst777 BT" w:cs="Times New Roman"/>
          <w:lang w:eastAsia="en-GB"/>
        </w:rPr>
        <w:t>pplicants seeking Advanced S</w:t>
      </w:r>
      <w:r w:rsidR="00225E86" w:rsidRPr="00E758ED">
        <w:rPr>
          <w:rFonts w:ascii="Humnst777 BT" w:eastAsia="Times New Roman" w:hAnsi="Humnst777 BT" w:cs="Times New Roman"/>
          <w:lang w:eastAsia="en-GB"/>
        </w:rPr>
        <w:t xml:space="preserve">tanding cannot claim exemption from specific Professional Standards for </w:t>
      </w:r>
      <w:r w:rsidR="006424D3" w:rsidRPr="00E758ED">
        <w:rPr>
          <w:rFonts w:ascii="Humnst777 BT" w:eastAsia="Times New Roman" w:hAnsi="Humnst777 BT" w:cs="Times New Roman"/>
          <w:lang w:eastAsia="en-GB"/>
        </w:rPr>
        <w:t>Qualified Teacher Status</w:t>
      </w:r>
      <w:r w:rsidR="00225E86" w:rsidRPr="00E758ED">
        <w:rPr>
          <w:rFonts w:ascii="Humnst777 BT" w:eastAsia="Times New Roman" w:hAnsi="Humnst777 BT" w:cs="Times New Roman"/>
          <w:lang w:eastAsia="en-GB"/>
        </w:rPr>
        <w:t xml:space="preserve">. </w:t>
      </w:r>
    </w:p>
    <w:p w14:paraId="415E6A75" w14:textId="62CEECBC" w:rsidR="00225E86" w:rsidRPr="00234897" w:rsidRDefault="00225E86" w:rsidP="00D12379">
      <w:pPr>
        <w:pStyle w:val="ListParagraph1"/>
        <w:numPr>
          <w:ilvl w:val="0"/>
          <w:numId w:val="0"/>
        </w:numPr>
        <w:spacing w:line="240" w:lineRule="auto"/>
      </w:pPr>
    </w:p>
    <w:p w14:paraId="7E7374A8" w14:textId="77777777" w:rsidR="00D12379" w:rsidRPr="00234897" w:rsidRDefault="00D12379"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000080"/>
          <w:lang w:eastAsia="en-GB"/>
        </w:rPr>
        <w:t>AWARD OF QUALIFIED TEACHER STATUS</w:t>
      </w:r>
    </w:p>
    <w:p w14:paraId="2E4F4EFD" w14:textId="613937B2" w:rsidR="00D12379" w:rsidRPr="00234897" w:rsidRDefault="00D12379" w:rsidP="00D12379">
      <w:pPr>
        <w:numPr>
          <w:ilvl w:val="0"/>
          <w:numId w:val="33"/>
        </w:numPr>
        <w:overflowPunct w:val="0"/>
        <w:autoSpaceDE w:val="0"/>
        <w:autoSpaceDN w:val="0"/>
        <w:adjustRightInd w:val="0"/>
        <w:spacing w:before="120" w:after="120" w:line="240" w:lineRule="auto"/>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To be recommended fo</w:t>
      </w:r>
      <w:r w:rsidR="002E1C7F">
        <w:rPr>
          <w:rFonts w:ascii="Humnst777 BT" w:eastAsia="Times New Roman" w:hAnsi="Humnst777 BT" w:cs="Times New Roman"/>
          <w:lang w:eastAsia="en-GB"/>
        </w:rPr>
        <w:t>r Qualified Teacher Status</w:t>
      </w:r>
      <w:r w:rsidRPr="00234897">
        <w:rPr>
          <w:rFonts w:ascii="Humnst777 BT" w:eastAsia="Times New Roman" w:hAnsi="Humnst777 BT" w:cs="Times New Roman"/>
          <w:lang w:eastAsia="en-GB"/>
        </w:rPr>
        <w:t xml:space="preserve">, students must fulfil the requirements of </w:t>
      </w:r>
      <w:r w:rsidR="009B1E4A" w:rsidRPr="002E1C7F">
        <w:rPr>
          <w:rFonts w:ascii="Humnst777 BT" w:eastAsia="Times New Roman" w:hAnsi="Humnst777 BT" w:cs="Times New Roman"/>
          <w:lang w:eastAsia="en-GB"/>
        </w:rPr>
        <w:t>the</w:t>
      </w:r>
      <w:r w:rsidR="00B22C2D">
        <w:rPr>
          <w:rFonts w:ascii="Humnst777 BT" w:eastAsia="Times New Roman" w:hAnsi="Humnst777 BT" w:cs="Times New Roman"/>
          <w:lang w:eastAsia="en-GB"/>
        </w:rPr>
        <w:t xml:space="preserve"> </w:t>
      </w:r>
      <w:r w:rsidRPr="00234897">
        <w:rPr>
          <w:rFonts w:ascii="Humnst777 BT" w:eastAsia="Times New Roman" w:hAnsi="Humnst777 BT" w:cs="Times New Roman"/>
          <w:lang w:eastAsia="en-GB"/>
        </w:rPr>
        <w:t xml:space="preserve">academic award for which they are registered, and meet the professional </w:t>
      </w:r>
      <w:r w:rsidRPr="00234897">
        <w:rPr>
          <w:rFonts w:ascii="Humnst777 BT" w:eastAsia="Times New Roman" w:hAnsi="Humnst777 BT" w:cs="Times New Roman"/>
          <w:lang w:eastAsia="en-GB"/>
        </w:rPr>
        <w:lastRenderedPageBreak/>
        <w:t xml:space="preserve">standards and requirements as laid down by the Department for Education from time to time. </w:t>
      </w:r>
    </w:p>
    <w:p w14:paraId="3396006D" w14:textId="77777777" w:rsidR="00D12379" w:rsidRPr="00234897" w:rsidRDefault="00D12379" w:rsidP="00D12379">
      <w:pPr>
        <w:numPr>
          <w:ilvl w:val="0"/>
          <w:numId w:val="33"/>
        </w:numPr>
        <w:overflowPunct w:val="0"/>
        <w:autoSpaceDE w:val="0"/>
        <w:autoSpaceDN w:val="0"/>
        <w:adjustRightInd w:val="0"/>
        <w:spacing w:before="120" w:after="120" w:line="240" w:lineRule="auto"/>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 xml:space="preserve">Where required as part of the programme, students are to complete successfully all professional placements, including the submission of the requisite evidence, whether such evidence is required before, during or after the completion of the placements. </w:t>
      </w:r>
    </w:p>
    <w:p w14:paraId="375CCEBA" w14:textId="77777777" w:rsidR="00D12379" w:rsidRPr="00234897" w:rsidRDefault="00D12379" w:rsidP="00D12379">
      <w:pPr>
        <w:pStyle w:val="ListParagraph1"/>
        <w:numPr>
          <w:ilvl w:val="0"/>
          <w:numId w:val="0"/>
        </w:numPr>
        <w:spacing w:line="240" w:lineRule="auto"/>
      </w:pPr>
    </w:p>
    <w:p w14:paraId="13B8FBEB" w14:textId="65B42DE2" w:rsidR="00EE3DC4" w:rsidRPr="00234897" w:rsidRDefault="00061BF3"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000080"/>
          <w:lang w:eastAsia="en-GB"/>
        </w:rPr>
        <w:t>COMPENSATION</w:t>
      </w:r>
    </w:p>
    <w:p w14:paraId="134B8372" w14:textId="1EDB5B0A" w:rsidR="001B4818" w:rsidRPr="00234897" w:rsidRDefault="00A40C96" w:rsidP="00D12379">
      <w:pPr>
        <w:numPr>
          <w:ilvl w:val="0"/>
          <w:numId w:val="33"/>
        </w:numPr>
        <w:overflowPunct w:val="0"/>
        <w:autoSpaceDE w:val="0"/>
        <w:autoSpaceDN w:val="0"/>
        <w:adjustRightInd w:val="0"/>
        <w:spacing w:before="120" w:after="120" w:line="240" w:lineRule="auto"/>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Students must pass all modules to receive an award.  Compensation is not permitted on this programme.</w:t>
      </w:r>
    </w:p>
    <w:p w14:paraId="393BDC33" w14:textId="77777777" w:rsidR="00EE3DC4" w:rsidRPr="00234897" w:rsidRDefault="00EE3DC4" w:rsidP="00D12379">
      <w:pPr>
        <w:pStyle w:val="ListParagraph1"/>
        <w:numPr>
          <w:ilvl w:val="0"/>
          <w:numId w:val="0"/>
        </w:numPr>
        <w:spacing w:line="240" w:lineRule="auto"/>
        <w:ind w:left="720" w:hanging="720"/>
      </w:pPr>
    </w:p>
    <w:p w14:paraId="7FC4104F" w14:textId="34A5BC03" w:rsidR="00EE3DC4" w:rsidRPr="00234897" w:rsidRDefault="00061BF3"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000080"/>
          <w:lang w:eastAsia="en-GB"/>
        </w:rPr>
        <w:t xml:space="preserve">PLACEMENT ASSESSMENTS </w:t>
      </w:r>
    </w:p>
    <w:p w14:paraId="48449180" w14:textId="3CA8F88C" w:rsidR="00EE3DC4" w:rsidRPr="00234897" w:rsidRDefault="002E1C7F"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Pr>
          <w:rFonts w:ascii="Humnst777 BT" w:eastAsia="Times New Roman" w:hAnsi="Humnst777 BT" w:cs="Times New Roman"/>
          <w:lang w:eastAsia="en-GB"/>
        </w:rPr>
        <w:t xml:space="preserve">Placements </w:t>
      </w:r>
      <w:r w:rsidR="00EE3DC4" w:rsidRPr="00234897">
        <w:rPr>
          <w:rFonts w:ascii="Humnst777 BT" w:eastAsia="Times New Roman" w:hAnsi="Humnst777 BT" w:cs="Times New Roman"/>
          <w:lang w:eastAsia="en-GB"/>
        </w:rPr>
        <w:t>are assessed on a pass/fail basis.</w:t>
      </w:r>
    </w:p>
    <w:p w14:paraId="600D2897" w14:textId="048DC000" w:rsidR="00EE3DC4" w:rsidRPr="00234897" w:rsidRDefault="00EE3DC4"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 xml:space="preserve">Where a student submits a pass/fail assessment </w:t>
      </w:r>
      <w:r w:rsidR="00D45B07" w:rsidRPr="00234897">
        <w:rPr>
          <w:rFonts w:ascii="Humnst777 BT" w:eastAsia="Times New Roman" w:hAnsi="Humnst777 BT" w:cs="Times New Roman"/>
          <w:lang w:eastAsia="en-GB"/>
        </w:rPr>
        <w:t>after the published deadline</w:t>
      </w:r>
      <w:r w:rsidRPr="00234897">
        <w:rPr>
          <w:rFonts w:ascii="Humnst777 BT" w:eastAsia="Times New Roman" w:hAnsi="Humnst777 BT" w:cs="Times New Roman"/>
          <w:lang w:eastAsia="en-GB"/>
        </w:rPr>
        <w:t>, without an approved extenuating circumstances case, a mark of 0 will be awarded.</w:t>
      </w:r>
    </w:p>
    <w:p w14:paraId="644EA94A" w14:textId="77777777" w:rsidR="008C6EB3" w:rsidRPr="00234897" w:rsidRDefault="008C6EB3" w:rsidP="00D12379">
      <w:pPr>
        <w:pStyle w:val="ListParagraph1"/>
        <w:numPr>
          <w:ilvl w:val="0"/>
          <w:numId w:val="0"/>
        </w:numPr>
        <w:spacing w:line="240" w:lineRule="auto"/>
        <w:ind w:left="-11"/>
        <w:rPr>
          <w:b/>
        </w:rPr>
      </w:pPr>
    </w:p>
    <w:p w14:paraId="370BC640" w14:textId="76EE2F90" w:rsidR="00BC31B1" w:rsidRPr="00234897" w:rsidRDefault="00061BF3"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000080"/>
          <w:lang w:eastAsia="en-GB"/>
        </w:rPr>
        <w:t xml:space="preserve">ARRANGEMENTS FOR PROFESSIONAL PLACEMENTS </w:t>
      </w:r>
    </w:p>
    <w:p w14:paraId="59C14EC1" w14:textId="33C32FB2" w:rsidR="0075101E" w:rsidRPr="00234897" w:rsidRDefault="0075101E"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 xml:space="preserve">Following completion of placement a </w:t>
      </w:r>
      <w:r w:rsidR="00C42582" w:rsidRPr="00234897">
        <w:rPr>
          <w:rFonts w:ascii="Humnst777 BT" w:eastAsia="Times New Roman" w:hAnsi="Humnst777 BT" w:cs="Times New Roman"/>
          <w:lang w:eastAsia="en-GB"/>
        </w:rPr>
        <w:t xml:space="preserve">meeting of the </w:t>
      </w:r>
      <w:r w:rsidRPr="00234897">
        <w:rPr>
          <w:rFonts w:ascii="Humnst777 BT" w:eastAsia="Times New Roman" w:hAnsi="Humnst777 BT" w:cs="Times New Roman"/>
          <w:lang w:eastAsia="en-GB"/>
        </w:rPr>
        <w:t>Board of Examiners will be convened to consider performance on placement modules</w:t>
      </w:r>
      <w:r w:rsidR="00F3028C" w:rsidRPr="00234897">
        <w:rPr>
          <w:rFonts w:ascii="Humnst777 BT" w:eastAsia="Times New Roman" w:hAnsi="Humnst777 BT" w:cs="Times New Roman"/>
          <w:lang w:eastAsia="en-GB"/>
        </w:rPr>
        <w:t>, to decide whether each student’s performance is ‘Satisfactory’ or ‘Unsatisfactory’. Where there is insufficient evidence to grade the student’s practice, this will be recorded as a deferred assessment</w:t>
      </w:r>
      <w:r w:rsidR="0055043F" w:rsidRPr="00234897">
        <w:rPr>
          <w:rFonts w:ascii="Humnst777 BT" w:eastAsia="Times New Roman" w:hAnsi="Humnst777 BT" w:cs="Times New Roman"/>
          <w:lang w:eastAsia="en-GB"/>
        </w:rPr>
        <w:t>.</w:t>
      </w:r>
    </w:p>
    <w:p w14:paraId="0F0F04C5" w14:textId="245DBC71" w:rsidR="00BC31B1" w:rsidRPr="00234897" w:rsidRDefault="00BC31B1"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Provided that no professional suitability concerns have been identified</w:t>
      </w:r>
      <w:r w:rsidR="00D45B07" w:rsidRPr="00234897">
        <w:rPr>
          <w:rFonts w:ascii="Humnst777 BT" w:eastAsia="Times New Roman" w:hAnsi="Humnst777 BT" w:cs="Times New Roman"/>
          <w:lang w:eastAsia="en-GB"/>
        </w:rPr>
        <w:t>,</w:t>
      </w:r>
      <w:r w:rsidRPr="00234897">
        <w:rPr>
          <w:rFonts w:ascii="Humnst777 BT" w:eastAsia="Times New Roman" w:hAnsi="Humnst777 BT" w:cs="Times New Roman"/>
          <w:lang w:eastAsia="en-GB"/>
        </w:rPr>
        <w:t xml:space="preserve"> a student graded as Unsatisfactory on Professional Placement will be: </w:t>
      </w:r>
    </w:p>
    <w:p w14:paraId="4E36C2D9" w14:textId="4DEE2A37" w:rsidR="00BC31B1" w:rsidRPr="00234897" w:rsidRDefault="00BC31B1" w:rsidP="00D12379">
      <w:pPr>
        <w:pStyle w:val="ListParagraph2"/>
        <w:numPr>
          <w:ilvl w:val="0"/>
          <w:numId w:val="28"/>
        </w:numPr>
        <w:ind w:left="1134"/>
        <w:rPr>
          <w:rFonts w:eastAsia="Times New Roman"/>
        </w:rPr>
      </w:pPr>
      <w:r w:rsidRPr="00234897">
        <w:rPr>
          <w:rFonts w:eastAsia="Times New Roman"/>
        </w:rPr>
        <w:t xml:space="preserve">counselled as to their suitability for the remainder of the programme. If, after such counselling, the student decides to continue with the </w:t>
      </w:r>
      <w:r w:rsidR="00D45B07" w:rsidRPr="00234897">
        <w:rPr>
          <w:rFonts w:eastAsia="Times New Roman"/>
        </w:rPr>
        <w:t>programme</w:t>
      </w:r>
      <w:r w:rsidRPr="00234897">
        <w:rPr>
          <w:rFonts w:eastAsia="Times New Roman"/>
        </w:rPr>
        <w:t xml:space="preserve">, s/he will be required to complete a reassessment of the professional placement, but in a different school; </w:t>
      </w:r>
    </w:p>
    <w:p w14:paraId="25DDCB09" w14:textId="6F24FA1F" w:rsidR="00BC31B1" w:rsidRPr="00234897" w:rsidRDefault="00BC31B1" w:rsidP="00D12379">
      <w:pPr>
        <w:pStyle w:val="ListParagraph2"/>
        <w:numPr>
          <w:ilvl w:val="0"/>
          <w:numId w:val="28"/>
        </w:numPr>
        <w:ind w:left="1134"/>
        <w:rPr>
          <w:rFonts w:eastAsia="Times New Roman"/>
        </w:rPr>
      </w:pPr>
      <w:r w:rsidRPr="00234897">
        <w:rPr>
          <w:rFonts w:eastAsia="Times New Roman"/>
        </w:rPr>
        <w:t xml:space="preserve">required to attend a meeting with the </w:t>
      </w:r>
      <w:r w:rsidR="00D45B07" w:rsidRPr="00234897">
        <w:rPr>
          <w:rFonts w:eastAsia="Times New Roman"/>
        </w:rPr>
        <w:t>Programme/</w:t>
      </w:r>
      <w:r w:rsidRPr="00234897">
        <w:rPr>
          <w:rFonts w:eastAsia="Times New Roman"/>
        </w:rPr>
        <w:t>Pathway Director and/or a relevant Curriculum/Professional Tutor to discuss their action plan an</w:t>
      </w:r>
      <w:r w:rsidR="00F3028C" w:rsidRPr="00234897">
        <w:rPr>
          <w:rFonts w:eastAsia="Times New Roman"/>
        </w:rPr>
        <w:t xml:space="preserve">d confirm targets for the re-assessment of </w:t>
      </w:r>
      <w:r w:rsidRPr="00234897">
        <w:rPr>
          <w:rFonts w:eastAsia="Times New Roman"/>
        </w:rPr>
        <w:t>professional placement.</w:t>
      </w:r>
    </w:p>
    <w:p w14:paraId="1EB5F1BC" w14:textId="5A64EB7A" w:rsidR="00182C2B" w:rsidRPr="00234897" w:rsidRDefault="00BC31B1"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A student will be given a</w:t>
      </w:r>
      <w:r w:rsidR="00C42582" w:rsidRPr="00234897">
        <w:rPr>
          <w:rFonts w:ascii="Humnst777 BT" w:eastAsia="Times New Roman" w:hAnsi="Humnst777 BT" w:cs="Times New Roman"/>
          <w:lang w:eastAsia="en-GB"/>
        </w:rPr>
        <w:t xml:space="preserve"> single</w:t>
      </w:r>
      <w:r w:rsidRPr="00234897">
        <w:rPr>
          <w:rFonts w:ascii="Humnst777 BT" w:eastAsia="Times New Roman" w:hAnsi="Humnst777 BT" w:cs="Times New Roman"/>
          <w:lang w:eastAsia="en-GB"/>
        </w:rPr>
        <w:t xml:space="preserve"> o</w:t>
      </w:r>
      <w:r w:rsidR="0055043F" w:rsidRPr="00234897">
        <w:rPr>
          <w:rFonts w:ascii="Humnst777 BT" w:eastAsia="Times New Roman" w:hAnsi="Humnst777 BT" w:cs="Times New Roman"/>
          <w:lang w:eastAsia="en-GB"/>
        </w:rPr>
        <w:t xml:space="preserve">pportunity for </w:t>
      </w:r>
      <w:r w:rsidR="00D45B07" w:rsidRPr="00234897">
        <w:rPr>
          <w:rFonts w:ascii="Humnst777 BT" w:eastAsia="Times New Roman" w:hAnsi="Humnst777 BT" w:cs="Times New Roman"/>
          <w:lang w:eastAsia="en-GB"/>
        </w:rPr>
        <w:t>r</w:t>
      </w:r>
      <w:r w:rsidR="0055043F" w:rsidRPr="00234897">
        <w:rPr>
          <w:rFonts w:ascii="Humnst777 BT" w:eastAsia="Times New Roman" w:hAnsi="Humnst777 BT" w:cs="Times New Roman"/>
          <w:lang w:eastAsia="en-GB"/>
        </w:rPr>
        <w:t>eassessment</w:t>
      </w:r>
      <w:r w:rsidR="00BC619D" w:rsidRPr="00234897">
        <w:rPr>
          <w:rFonts w:ascii="Humnst777 BT" w:eastAsia="Times New Roman" w:hAnsi="Humnst777 BT" w:cs="Times New Roman"/>
          <w:lang w:eastAsia="en-GB"/>
        </w:rPr>
        <w:t xml:space="preserve"> of each</w:t>
      </w:r>
      <w:r w:rsidRPr="00234897">
        <w:rPr>
          <w:rFonts w:ascii="Humnst777 BT" w:eastAsia="Times New Roman" w:hAnsi="Humnst777 BT" w:cs="Times New Roman"/>
          <w:lang w:eastAsia="en-GB"/>
        </w:rPr>
        <w:t xml:space="preserve"> professional placement</w:t>
      </w:r>
      <w:r w:rsidR="00D12379" w:rsidRPr="00234897">
        <w:rPr>
          <w:rFonts w:ascii="Humnst777 BT" w:eastAsia="Times New Roman" w:hAnsi="Humnst777 BT" w:cs="Times New Roman"/>
          <w:lang w:eastAsia="en-GB"/>
        </w:rPr>
        <w:t>.</w:t>
      </w:r>
    </w:p>
    <w:p w14:paraId="48C2E7B1" w14:textId="7CCD4CEB" w:rsidR="00BC31B1" w:rsidRPr="00234897" w:rsidRDefault="00182C2B"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A reassessment of placement will be permitted</w:t>
      </w:r>
      <w:r w:rsidR="00BC31B1" w:rsidRPr="00234897">
        <w:rPr>
          <w:rFonts w:ascii="Humnst777 BT" w:eastAsia="Times New Roman" w:hAnsi="Humnst777 BT" w:cs="Times New Roman"/>
          <w:lang w:eastAsia="en-GB"/>
        </w:rPr>
        <w:t xml:space="preserve"> if all the following criteria have been met: </w:t>
      </w:r>
    </w:p>
    <w:p w14:paraId="783F5FD1" w14:textId="0C0E41D4" w:rsidR="00BC31B1" w:rsidRPr="00234897" w:rsidRDefault="00D45B07" w:rsidP="00D12379">
      <w:pPr>
        <w:pStyle w:val="ListParagraph2"/>
        <w:numPr>
          <w:ilvl w:val="0"/>
          <w:numId w:val="30"/>
        </w:numPr>
        <w:ind w:left="1134"/>
        <w:rPr>
          <w:rFonts w:eastAsia="Times New Roman"/>
        </w:rPr>
      </w:pPr>
      <w:r w:rsidRPr="00234897">
        <w:rPr>
          <w:rFonts w:eastAsia="Times New Roman"/>
        </w:rPr>
        <w:t>t</w:t>
      </w:r>
      <w:r w:rsidR="00F3028C" w:rsidRPr="00234897">
        <w:rPr>
          <w:rFonts w:eastAsia="Times New Roman"/>
        </w:rPr>
        <w:t>here is</w:t>
      </w:r>
      <w:r w:rsidR="00BC31B1" w:rsidRPr="00234897">
        <w:rPr>
          <w:rFonts w:eastAsia="Times New Roman"/>
        </w:rPr>
        <w:t xml:space="preserve"> an action plan, approved by the </w:t>
      </w:r>
      <w:r w:rsidRPr="00234897">
        <w:rPr>
          <w:rFonts w:eastAsia="Times New Roman"/>
        </w:rPr>
        <w:t>Programme/</w:t>
      </w:r>
      <w:r w:rsidR="00BC31B1" w:rsidRPr="00234897">
        <w:rPr>
          <w:rFonts w:eastAsia="Times New Roman"/>
        </w:rPr>
        <w:t xml:space="preserve">Pathway Director, to address the issues raised on his/her placement, which gives a clear outline of the actions the student will take to improve their practice in these areas; </w:t>
      </w:r>
    </w:p>
    <w:p w14:paraId="324BD20F" w14:textId="1A00272D" w:rsidR="00BC31B1" w:rsidRPr="00234897" w:rsidRDefault="00D45B07" w:rsidP="00D12379">
      <w:pPr>
        <w:pStyle w:val="ListParagraph2"/>
        <w:numPr>
          <w:ilvl w:val="0"/>
          <w:numId w:val="30"/>
        </w:numPr>
        <w:ind w:left="1134"/>
        <w:rPr>
          <w:rFonts w:eastAsia="Times New Roman"/>
        </w:rPr>
      </w:pPr>
      <w:r w:rsidRPr="00234897">
        <w:rPr>
          <w:rFonts w:eastAsia="Times New Roman"/>
        </w:rPr>
        <w:t xml:space="preserve">there </w:t>
      </w:r>
      <w:r w:rsidR="00BC31B1" w:rsidRPr="00234897">
        <w:rPr>
          <w:rFonts w:eastAsia="Times New Roman"/>
        </w:rPr>
        <w:t>is evidence that the student has demonstrated a willingness to adopt a constructive approach to the advice received from either the mentor, University tutor(s), and any other advisors</w:t>
      </w:r>
      <w:r w:rsidRPr="00234897">
        <w:rPr>
          <w:rFonts w:eastAsia="Times New Roman"/>
        </w:rPr>
        <w:t>,</w:t>
      </w:r>
      <w:r w:rsidR="00BC31B1" w:rsidRPr="00234897">
        <w:rPr>
          <w:rFonts w:eastAsia="Times New Roman"/>
        </w:rPr>
        <w:t xml:space="preserve"> in relation to their targets and progress towards the Standards for QTS; </w:t>
      </w:r>
    </w:p>
    <w:p w14:paraId="21C64A1D" w14:textId="62099049" w:rsidR="00BC31B1" w:rsidRPr="00234897" w:rsidRDefault="00D45B07" w:rsidP="00D12379">
      <w:pPr>
        <w:pStyle w:val="ListParagraph2"/>
        <w:numPr>
          <w:ilvl w:val="0"/>
          <w:numId w:val="30"/>
        </w:numPr>
        <w:ind w:left="1134"/>
        <w:rPr>
          <w:rFonts w:eastAsia="Times New Roman"/>
        </w:rPr>
      </w:pPr>
      <w:r w:rsidRPr="00234897">
        <w:rPr>
          <w:rFonts w:eastAsia="Times New Roman"/>
        </w:rPr>
        <w:t>t</w:t>
      </w:r>
      <w:r w:rsidR="00BC31B1" w:rsidRPr="00234897">
        <w:rPr>
          <w:rFonts w:eastAsia="Times New Roman"/>
        </w:rPr>
        <w:t xml:space="preserve">here is no evidence that the student has deviated significantly from the behaviour commensurate with a professional code of conduct. </w:t>
      </w:r>
    </w:p>
    <w:p w14:paraId="4F160B02" w14:textId="265B0BA8" w:rsidR="00BC31B1" w:rsidRPr="002E1C7F" w:rsidRDefault="00D76BCD"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E1C7F">
        <w:rPr>
          <w:rFonts w:ascii="Humnst777 BT" w:eastAsia="Times New Roman" w:hAnsi="Humnst777 BT" w:cs="Times New Roman"/>
          <w:lang w:eastAsia="en-GB"/>
        </w:rPr>
        <w:lastRenderedPageBreak/>
        <w:t xml:space="preserve">Where reassessment of </w:t>
      </w:r>
      <w:r w:rsidR="00BC31B1" w:rsidRPr="002E1C7F">
        <w:rPr>
          <w:rFonts w:ascii="Humnst777 BT" w:eastAsia="Times New Roman" w:hAnsi="Humnst777 BT" w:cs="Times New Roman"/>
          <w:lang w:eastAsia="en-GB"/>
        </w:rPr>
        <w:t>placement is offered</w:t>
      </w:r>
      <w:r w:rsidR="009B1E4A" w:rsidRPr="002E1C7F">
        <w:rPr>
          <w:rFonts w:ascii="Humnst777 BT" w:eastAsia="Times New Roman" w:hAnsi="Humnst777 BT" w:cs="Times New Roman"/>
          <w:lang w:eastAsia="en-GB"/>
        </w:rPr>
        <w:t xml:space="preserve"> by </w:t>
      </w:r>
      <w:r w:rsidR="00BC31B1" w:rsidRPr="002E1C7F">
        <w:rPr>
          <w:rFonts w:ascii="Humnst777 BT" w:eastAsia="Times New Roman" w:hAnsi="Humnst777 BT" w:cs="Times New Roman"/>
          <w:lang w:eastAsia="en-GB"/>
        </w:rPr>
        <w:t xml:space="preserve">the Board </w:t>
      </w:r>
      <w:r w:rsidR="00D45B07" w:rsidRPr="002E1C7F">
        <w:rPr>
          <w:rFonts w:ascii="Humnst777 BT" w:eastAsia="Times New Roman" w:hAnsi="Humnst777 BT" w:cs="Times New Roman"/>
          <w:lang w:eastAsia="en-GB"/>
        </w:rPr>
        <w:t>of Examiners</w:t>
      </w:r>
      <w:r w:rsidR="009B1E4A" w:rsidRPr="002E1C7F">
        <w:rPr>
          <w:rFonts w:ascii="Humnst777 BT" w:eastAsia="Times New Roman" w:hAnsi="Humnst777 BT" w:cs="Times New Roman"/>
          <w:lang w:eastAsia="en-GB"/>
        </w:rPr>
        <w:t xml:space="preserve">, </w:t>
      </w:r>
      <w:r w:rsidR="009B1E4A" w:rsidRPr="002E1C7F">
        <w:rPr>
          <w:rFonts w:ascii="Humnst777 BT" w:hAnsi="Humnst777 BT"/>
        </w:rPr>
        <w:t xml:space="preserve">the timing and location of the placement will be determined by the </w:t>
      </w:r>
      <w:r w:rsidR="00B22C2D" w:rsidRPr="002E1C7F">
        <w:rPr>
          <w:rFonts w:ascii="Humnst777 BT" w:hAnsi="Humnst777 BT"/>
        </w:rPr>
        <w:t xml:space="preserve">relevant </w:t>
      </w:r>
      <w:r w:rsidR="002D055C">
        <w:rPr>
          <w:rFonts w:ascii="Humnst777 BT" w:hAnsi="Humnst777 BT"/>
        </w:rPr>
        <w:t>Programme</w:t>
      </w:r>
      <w:r w:rsidR="002F3629">
        <w:rPr>
          <w:rFonts w:ascii="Humnst777 BT" w:hAnsi="Humnst777 BT"/>
        </w:rPr>
        <w:t>/Pathway</w:t>
      </w:r>
      <w:r w:rsidR="002D055C" w:rsidRPr="002E1C7F">
        <w:rPr>
          <w:rFonts w:ascii="Humnst777 BT" w:hAnsi="Humnst777 BT"/>
        </w:rPr>
        <w:t xml:space="preserve"> </w:t>
      </w:r>
      <w:r w:rsidR="00B22C2D" w:rsidRPr="002E1C7F">
        <w:rPr>
          <w:rFonts w:ascii="Humnst777 BT" w:hAnsi="Humnst777 BT"/>
        </w:rPr>
        <w:t>Director</w:t>
      </w:r>
      <w:r w:rsidR="009B1E4A" w:rsidRPr="002E1C7F">
        <w:rPr>
          <w:rFonts w:ascii="Humnst777 BT" w:eastAsia="Times New Roman" w:hAnsi="Humnst777 BT" w:cs="Times New Roman"/>
          <w:lang w:eastAsia="en-GB"/>
        </w:rPr>
        <w:t>.</w:t>
      </w:r>
      <w:r w:rsidR="00BC31B1" w:rsidRPr="002E1C7F">
        <w:rPr>
          <w:rFonts w:ascii="Humnst777 BT" w:eastAsia="Times New Roman" w:hAnsi="Humnst777 BT" w:cs="Times New Roman"/>
          <w:lang w:eastAsia="en-GB"/>
        </w:rPr>
        <w:t xml:space="preserve"> </w:t>
      </w:r>
    </w:p>
    <w:p w14:paraId="1BB128B7" w14:textId="221080A4" w:rsidR="00BC31B1" w:rsidRPr="00234897" w:rsidRDefault="00BC31B1"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The reassessment of the professional placement must b</w:t>
      </w:r>
      <w:r w:rsidR="0070480D" w:rsidRPr="00234897">
        <w:rPr>
          <w:rFonts w:ascii="Humnst777 BT" w:eastAsia="Times New Roman" w:hAnsi="Humnst777 BT" w:cs="Times New Roman"/>
          <w:lang w:eastAsia="en-GB"/>
        </w:rPr>
        <w:t xml:space="preserve">e completed successfully prior to commencement of the </w:t>
      </w:r>
      <w:r w:rsidRPr="00234897">
        <w:rPr>
          <w:rFonts w:ascii="Humnst777 BT" w:eastAsia="Times New Roman" w:hAnsi="Humnst777 BT" w:cs="Times New Roman"/>
          <w:lang w:eastAsia="en-GB"/>
        </w:rPr>
        <w:t xml:space="preserve">next scheduled professional placement. If the reassessment of the placement is </w:t>
      </w:r>
      <w:r w:rsidR="0070480D" w:rsidRPr="00234897">
        <w:rPr>
          <w:rFonts w:ascii="Humnst777 BT" w:eastAsia="Times New Roman" w:hAnsi="Humnst777 BT" w:cs="Times New Roman"/>
          <w:lang w:eastAsia="en-GB"/>
        </w:rPr>
        <w:t>not graded as</w:t>
      </w:r>
      <w:r w:rsidR="002E1C7F">
        <w:rPr>
          <w:rFonts w:ascii="Humnst777 BT" w:eastAsia="Times New Roman" w:hAnsi="Humnst777 BT" w:cs="Times New Roman"/>
          <w:lang w:eastAsia="en-GB"/>
        </w:rPr>
        <w:t xml:space="preserve"> ‘Sa</w:t>
      </w:r>
      <w:r w:rsidRPr="00234897">
        <w:rPr>
          <w:rFonts w:ascii="Humnst777 BT" w:eastAsia="Times New Roman" w:hAnsi="Humnst777 BT" w:cs="Times New Roman"/>
          <w:lang w:eastAsia="en-GB"/>
        </w:rPr>
        <w:t>tisfactory</w:t>
      </w:r>
      <w:r w:rsidR="002E1C7F">
        <w:rPr>
          <w:rFonts w:ascii="Humnst777 BT" w:eastAsia="Times New Roman" w:hAnsi="Humnst777 BT" w:cs="Times New Roman"/>
          <w:lang w:eastAsia="en-GB"/>
        </w:rPr>
        <w:t>’</w:t>
      </w:r>
      <w:r w:rsidRPr="00234897">
        <w:rPr>
          <w:rFonts w:ascii="Humnst777 BT" w:eastAsia="Times New Roman" w:hAnsi="Humnst777 BT" w:cs="Times New Roman"/>
          <w:lang w:eastAsia="en-GB"/>
        </w:rPr>
        <w:t xml:space="preserve"> then </w:t>
      </w:r>
      <w:r w:rsidR="006B5212">
        <w:rPr>
          <w:rFonts w:ascii="Humnst777 BT" w:eastAsia="Times New Roman" w:hAnsi="Humnst777 BT" w:cs="Times New Roman"/>
          <w:lang w:eastAsia="en-GB"/>
        </w:rPr>
        <w:t>paragraph 21 will apply</w:t>
      </w:r>
      <w:r w:rsidRPr="00234897">
        <w:rPr>
          <w:rFonts w:ascii="Humnst777 BT" w:eastAsia="Times New Roman" w:hAnsi="Humnst777 BT" w:cs="Times New Roman"/>
          <w:lang w:eastAsia="en-GB"/>
        </w:rPr>
        <w:t xml:space="preserve">. </w:t>
      </w:r>
    </w:p>
    <w:p w14:paraId="1C21CD03" w14:textId="1297DDE5" w:rsidR="004C1DEA" w:rsidRPr="00234897" w:rsidRDefault="004C1DEA" w:rsidP="007A458E">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 xml:space="preserve">Students who are unable to demonstrate achievement of the Teachers’ Standards </w:t>
      </w:r>
      <w:r w:rsidR="006424D3">
        <w:rPr>
          <w:rFonts w:ascii="Humnst777 BT" w:eastAsia="Times New Roman" w:hAnsi="Humnst777 BT" w:cs="Times New Roman"/>
          <w:lang w:eastAsia="en-GB"/>
        </w:rPr>
        <w:t>on a professional placement may:</w:t>
      </w:r>
    </w:p>
    <w:p w14:paraId="7499C84C" w14:textId="49540AE6" w:rsidR="008016E8" w:rsidRPr="002E1C7F" w:rsidRDefault="002E1C7F" w:rsidP="008016E8">
      <w:pPr>
        <w:pStyle w:val="ListParagraph"/>
        <w:numPr>
          <w:ilvl w:val="0"/>
          <w:numId w:val="42"/>
        </w:numPr>
        <w:spacing w:before="120" w:after="120"/>
        <w:ind w:left="714" w:hanging="357"/>
        <w:contextualSpacing w:val="0"/>
        <w:jc w:val="both"/>
        <w:rPr>
          <w:rFonts w:ascii="Humnst777 BT" w:hAnsi="Humnst777 BT"/>
        </w:rPr>
      </w:pPr>
      <w:r>
        <w:rPr>
          <w:rFonts w:ascii="Humnst777 BT" w:hAnsi="Humnst777 BT"/>
        </w:rPr>
        <w:t>w</w:t>
      </w:r>
      <w:r w:rsidR="004C1DEA" w:rsidRPr="002E1C7F">
        <w:rPr>
          <w:rFonts w:ascii="Humnst777 BT" w:hAnsi="Humnst777 BT"/>
        </w:rPr>
        <w:t>ithdraw from the programme with any credit gained OR</w:t>
      </w:r>
    </w:p>
    <w:p w14:paraId="7809BA56" w14:textId="14B22ED0" w:rsidR="008016E8" w:rsidRPr="002E1C7F" w:rsidRDefault="002E1C7F" w:rsidP="008016E8">
      <w:pPr>
        <w:pStyle w:val="ListParagraph"/>
        <w:numPr>
          <w:ilvl w:val="0"/>
          <w:numId w:val="42"/>
        </w:numPr>
        <w:spacing w:before="120" w:after="120"/>
        <w:ind w:left="714" w:hanging="357"/>
        <w:contextualSpacing w:val="0"/>
        <w:jc w:val="both"/>
        <w:rPr>
          <w:rFonts w:ascii="Humnst777 BT" w:hAnsi="Humnst777 BT"/>
        </w:rPr>
      </w:pPr>
      <w:r>
        <w:rPr>
          <w:rFonts w:ascii="Humnst777 BT" w:hAnsi="Humnst777 BT"/>
        </w:rPr>
        <w:t>t</w:t>
      </w:r>
      <w:r w:rsidR="004C1DEA" w:rsidRPr="002E1C7F">
        <w:rPr>
          <w:rFonts w:ascii="Humnst777 BT" w:hAnsi="Humnst777 BT"/>
        </w:rPr>
        <w:t>ransfer to another programme, if they meet the appropriate requirements OR</w:t>
      </w:r>
    </w:p>
    <w:p w14:paraId="4535B726" w14:textId="08D600F2" w:rsidR="008016E8" w:rsidRPr="002E1C7F" w:rsidRDefault="002E1C7F" w:rsidP="008016E8">
      <w:pPr>
        <w:pStyle w:val="ListParagraph"/>
        <w:numPr>
          <w:ilvl w:val="0"/>
          <w:numId w:val="42"/>
        </w:numPr>
        <w:spacing w:before="120" w:after="120"/>
        <w:ind w:left="714" w:hanging="357"/>
        <w:contextualSpacing w:val="0"/>
        <w:jc w:val="both"/>
        <w:rPr>
          <w:rFonts w:ascii="Humnst777 BT" w:hAnsi="Humnst777 BT"/>
        </w:rPr>
      </w:pPr>
      <w:r>
        <w:rPr>
          <w:rFonts w:ascii="Humnst777 BT" w:hAnsi="Humnst777 BT"/>
        </w:rPr>
        <w:t>t</w:t>
      </w:r>
      <w:r w:rsidR="004C1DEA" w:rsidRPr="002E1C7F">
        <w:rPr>
          <w:rFonts w:ascii="Humnst777 BT" w:hAnsi="Humnst777 BT"/>
        </w:rPr>
        <w:t xml:space="preserve">ransfer to </w:t>
      </w:r>
      <w:r w:rsidR="00D70438" w:rsidRPr="002E1C7F">
        <w:rPr>
          <w:rFonts w:ascii="Humnst777 BT" w:hAnsi="Humnst777 BT"/>
        </w:rPr>
        <w:t>t</w:t>
      </w:r>
      <w:r w:rsidR="009B1E4A" w:rsidRPr="002E1C7F">
        <w:rPr>
          <w:rFonts w:ascii="Humnst777 BT" w:hAnsi="Humnst777 BT"/>
        </w:rPr>
        <w:t xml:space="preserve">he route within the programme that does not lead to a recommendation for QTS.  </w:t>
      </w:r>
      <w:r w:rsidR="008016E8" w:rsidRPr="002E1C7F">
        <w:rPr>
          <w:rFonts w:ascii="Humnst777 BT" w:hAnsi="Humnst777 BT"/>
        </w:rPr>
        <w:t>(</w:t>
      </w:r>
      <w:r w:rsidR="009B1E4A" w:rsidRPr="002E1C7F">
        <w:rPr>
          <w:rFonts w:ascii="Humnst777 BT" w:hAnsi="Humnst777 BT"/>
        </w:rPr>
        <w:t xml:space="preserve">Where this is the case </w:t>
      </w:r>
      <w:r w:rsidR="008016E8" w:rsidRPr="002E1C7F">
        <w:rPr>
          <w:rFonts w:ascii="Humnst777 BT" w:hAnsi="Humnst777 BT"/>
        </w:rPr>
        <w:t>the student</w:t>
      </w:r>
      <w:r w:rsidR="004C1DEA" w:rsidRPr="002E1C7F">
        <w:rPr>
          <w:rFonts w:ascii="Humnst777 BT" w:hAnsi="Humnst777 BT"/>
        </w:rPr>
        <w:t xml:space="preserve"> will be required to complete a period of experience in another appropriate work setting in place of any remaining professional placements. Such students will not be recommended for QTS, but may be eligible for the award of </w:t>
      </w:r>
      <w:r w:rsidR="00B22C2D" w:rsidRPr="002E1C7F">
        <w:rPr>
          <w:rFonts w:ascii="Humnst777 BT" w:hAnsi="Humnst777 BT"/>
        </w:rPr>
        <w:t>the</w:t>
      </w:r>
      <w:r w:rsidR="004C1DEA" w:rsidRPr="002E1C7F">
        <w:rPr>
          <w:rFonts w:ascii="Humnst777 BT" w:hAnsi="Humnst777 BT"/>
        </w:rPr>
        <w:t xml:space="preserve"> degree.</w:t>
      </w:r>
      <w:r>
        <w:rPr>
          <w:rFonts w:ascii="Humnst777 BT" w:hAnsi="Humnst777 BT"/>
        </w:rPr>
        <w:t>)</w:t>
      </w:r>
    </w:p>
    <w:p w14:paraId="16E9FFAA" w14:textId="26487824" w:rsidR="00B22C2D" w:rsidRPr="002E1C7F" w:rsidRDefault="00B22C2D" w:rsidP="008016E8">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E1C7F">
        <w:rPr>
          <w:rFonts w:ascii="Humnst777 BT" w:eastAsia="Times New Roman" w:hAnsi="Humnst777 BT" w:cs="Times New Roman"/>
          <w:lang w:eastAsia="en-GB"/>
        </w:rPr>
        <w:t>In the case of a student on a final placement failing to reach the required standard in a small number of areas, the Board of Examiners may recommend an extended period of placement (but normally less than the full period) in order for the student to meet the standards in all areas. In doing so the Board of Examiners will take into account the following:</w:t>
      </w:r>
    </w:p>
    <w:p w14:paraId="2A01E152" w14:textId="4B11DD2E" w:rsidR="00B22C2D" w:rsidRPr="002E1C7F" w:rsidRDefault="00B22C2D" w:rsidP="00B22C2D">
      <w:pPr>
        <w:numPr>
          <w:ilvl w:val="0"/>
          <w:numId w:val="41"/>
        </w:numPr>
        <w:tabs>
          <w:tab w:val="clear" w:pos="360"/>
        </w:tabs>
        <w:overflowPunct w:val="0"/>
        <w:autoSpaceDE w:val="0"/>
        <w:autoSpaceDN w:val="0"/>
        <w:adjustRightInd w:val="0"/>
        <w:spacing w:before="120" w:after="120" w:line="240" w:lineRule="auto"/>
        <w:ind w:left="993"/>
        <w:jc w:val="both"/>
        <w:textAlignment w:val="baseline"/>
        <w:rPr>
          <w:rFonts w:ascii="Humnst777 BT" w:hAnsi="Humnst777 BT"/>
        </w:rPr>
      </w:pPr>
      <w:r w:rsidRPr="002E1C7F">
        <w:rPr>
          <w:rFonts w:ascii="Humnst777 BT" w:hAnsi="Humnst777 BT"/>
        </w:rPr>
        <w:t>the likelihood of the student being able to meet the required standards by th</w:t>
      </w:r>
      <w:r w:rsidR="002E1C7F">
        <w:rPr>
          <w:rFonts w:ascii="Humnst777 BT" w:hAnsi="Humnst777 BT"/>
        </w:rPr>
        <w:t>e end of the extended placement;</w:t>
      </w:r>
    </w:p>
    <w:p w14:paraId="252DC1FC" w14:textId="075EF7E5" w:rsidR="00B22C2D" w:rsidRPr="002E1C7F" w:rsidRDefault="00B22C2D" w:rsidP="00B22C2D">
      <w:pPr>
        <w:numPr>
          <w:ilvl w:val="0"/>
          <w:numId w:val="41"/>
        </w:numPr>
        <w:tabs>
          <w:tab w:val="clear" w:pos="360"/>
        </w:tabs>
        <w:overflowPunct w:val="0"/>
        <w:autoSpaceDE w:val="0"/>
        <w:autoSpaceDN w:val="0"/>
        <w:adjustRightInd w:val="0"/>
        <w:spacing w:before="120" w:after="120" w:line="240" w:lineRule="auto"/>
        <w:ind w:left="993"/>
        <w:jc w:val="both"/>
        <w:textAlignment w:val="baseline"/>
        <w:rPr>
          <w:rFonts w:ascii="Humnst777 BT" w:hAnsi="Humnst777 BT"/>
        </w:rPr>
      </w:pPr>
      <w:r w:rsidRPr="002E1C7F">
        <w:rPr>
          <w:rFonts w:ascii="Humnst777 BT" w:hAnsi="Humnst777 BT"/>
        </w:rPr>
        <w:t>any extenuating circumstances that have applied during the placement</w:t>
      </w:r>
      <w:r w:rsidR="002E1C7F">
        <w:rPr>
          <w:rFonts w:ascii="Humnst777 BT" w:hAnsi="Humnst777 BT"/>
        </w:rPr>
        <w:t>;</w:t>
      </w:r>
    </w:p>
    <w:p w14:paraId="477CEB81" w14:textId="6158B8EC" w:rsidR="00B22C2D" w:rsidRPr="002E1C7F" w:rsidRDefault="00B22C2D" w:rsidP="00B22C2D">
      <w:pPr>
        <w:numPr>
          <w:ilvl w:val="0"/>
          <w:numId w:val="41"/>
        </w:numPr>
        <w:tabs>
          <w:tab w:val="clear" w:pos="360"/>
        </w:tabs>
        <w:overflowPunct w:val="0"/>
        <w:autoSpaceDE w:val="0"/>
        <w:autoSpaceDN w:val="0"/>
        <w:adjustRightInd w:val="0"/>
        <w:spacing w:before="120" w:after="120" w:line="240" w:lineRule="auto"/>
        <w:ind w:left="993"/>
        <w:jc w:val="both"/>
        <w:textAlignment w:val="baseline"/>
        <w:rPr>
          <w:rFonts w:ascii="Humnst777 BT" w:hAnsi="Humnst777 BT"/>
        </w:rPr>
      </w:pPr>
      <w:r w:rsidRPr="002E1C7F">
        <w:rPr>
          <w:rFonts w:ascii="Humnst777 BT" w:hAnsi="Humnst777 BT"/>
        </w:rPr>
        <w:t>progress towards meeting any action plans that are in place</w:t>
      </w:r>
      <w:r w:rsidR="002E1C7F">
        <w:rPr>
          <w:rFonts w:ascii="Humnst777 BT" w:hAnsi="Humnst777 BT"/>
        </w:rPr>
        <w:t>;</w:t>
      </w:r>
    </w:p>
    <w:p w14:paraId="6EE9B5A2" w14:textId="597D562D" w:rsidR="00B22C2D" w:rsidRPr="002E1C7F" w:rsidRDefault="00B22C2D" w:rsidP="00B22C2D">
      <w:pPr>
        <w:numPr>
          <w:ilvl w:val="0"/>
          <w:numId w:val="41"/>
        </w:numPr>
        <w:tabs>
          <w:tab w:val="clear" w:pos="360"/>
        </w:tabs>
        <w:overflowPunct w:val="0"/>
        <w:autoSpaceDE w:val="0"/>
        <w:autoSpaceDN w:val="0"/>
        <w:adjustRightInd w:val="0"/>
        <w:spacing w:before="120" w:after="120" w:line="240" w:lineRule="auto"/>
        <w:ind w:left="993"/>
        <w:jc w:val="both"/>
        <w:textAlignment w:val="baseline"/>
        <w:rPr>
          <w:rFonts w:ascii="Humnst777 BT" w:hAnsi="Humnst777 BT"/>
        </w:rPr>
      </w:pPr>
      <w:r w:rsidRPr="002E1C7F">
        <w:rPr>
          <w:rFonts w:ascii="Humnst777 BT" w:hAnsi="Humnst777 BT"/>
        </w:rPr>
        <w:t>the formally expressed views of the placement setting and its ability to accommodate the student for the additional time</w:t>
      </w:r>
      <w:r w:rsidR="008016E8" w:rsidRPr="002E1C7F">
        <w:rPr>
          <w:rFonts w:ascii="Humnst777 BT" w:hAnsi="Humnst777 BT"/>
        </w:rPr>
        <w:t>.</w:t>
      </w:r>
    </w:p>
    <w:p w14:paraId="65C06BB7" w14:textId="7A8887CE" w:rsidR="00D12379" w:rsidRPr="00234897" w:rsidRDefault="00D12379"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lang w:eastAsia="en-GB"/>
        </w:rPr>
      </w:pPr>
    </w:p>
    <w:p w14:paraId="50637821" w14:textId="3C46087D" w:rsidR="00BC31B1" w:rsidRPr="00234897" w:rsidRDefault="00061BF3"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000080"/>
          <w:lang w:eastAsia="en-GB"/>
        </w:rPr>
        <w:t xml:space="preserve">PROFESSIONAL SUITABILITY </w:t>
      </w:r>
    </w:p>
    <w:p w14:paraId="459F7E6B" w14:textId="47FA3990" w:rsidR="009B1E4A" w:rsidRPr="009B1E4A" w:rsidRDefault="009B1E4A" w:rsidP="009B1E4A">
      <w:pPr>
        <w:pStyle w:val="ListParagraph"/>
        <w:numPr>
          <w:ilvl w:val="0"/>
          <w:numId w:val="33"/>
        </w:numPr>
        <w:overflowPunct w:val="0"/>
        <w:autoSpaceDE w:val="0"/>
        <w:autoSpaceDN w:val="0"/>
        <w:adjustRightInd w:val="0"/>
        <w:spacing w:before="120" w:after="120" w:line="240" w:lineRule="auto"/>
        <w:jc w:val="both"/>
        <w:textAlignment w:val="baseline"/>
        <w:rPr>
          <w:rFonts w:ascii="Humnst777 BT" w:hAnsi="Humnst777 BT"/>
        </w:rPr>
      </w:pPr>
      <w:r w:rsidRPr="009B1E4A">
        <w:rPr>
          <w:rFonts w:ascii="Humnst777 BT" w:hAnsi="Humnst777 BT"/>
        </w:rPr>
        <w:t>The Faculty of Education Professional Suitability Panel will make a judgement as to a student’s suitability for entry to the teaching profession, where the practice of the student has been of such significant concern that the learning and/or welfare of pupils and schools is jeopardised by the continued presen</w:t>
      </w:r>
      <w:r w:rsidR="00B22C2D">
        <w:rPr>
          <w:rFonts w:ascii="Humnst777 BT" w:hAnsi="Humnst777 BT"/>
        </w:rPr>
        <w:t>ce of that student on placement.</w:t>
      </w:r>
    </w:p>
    <w:p w14:paraId="408D9C34" w14:textId="77777777" w:rsidR="00BC31B1" w:rsidRPr="00234897" w:rsidRDefault="00BC31B1" w:rsidP="00D12379">
      <w:pPr>
        <w:pStyle w:val="ListParagraph1"/>
        <w:numPr>
          <w:ilvl w:val="0"/>
          <w:numId w:val="0"/>
        </w:numPr>
        <w:spacing w:line="240" w:lineRule="auto"/>
        <w:ind w:left="720" w:hanging="720"/>
        <w:rPr>
          <w:b/>
        </w:rPr>
      </w:pPr>
    </w:p>
    <w:p w14:paraId="13AE5A19" w14:textId="24B4BCEE" w:rsidR="00BC31B1" w:rsidRPr="00234897" w:rsidRDefault="00061BF3" w:rsidP="00D12379">
      <w:pPr>
        <w:overflowPunct w:val="0"/>
        <w:autoSpaceDE w:val="0"/>
        <w:autoSpaceDN w:val="0"/>
        <w:adjustRightInd w:val="0"/>
        <w:spacing w:before="120" w:after="120" w:line="240" w:lineRule="auto"/>
        <w:jc w:val="both"/>
        <w:textAlignment w:val="baseline"/>
        <w:rPr>
          <w:rFonts w:ascii="Humnst777 BT" w:eastAsia="Times New Roman" w:hAnsi="Humnst777 BT" w:cs="Times New Roman"/>
          <w:b/>
          <w:color w:val="000080"/>
          <w:lang w:eastAsia="en-GB"/>
        </w:rPr>
      </w:pPr>
      <w:r w:rsidRPr="00234897">
        <w:rPr>
          <w:rFonts w:ascii="Humnst777 BT" w:eastAsia="Times New Roman" w:hAnsi="Humnst777 BT" w:cs="Times New Roman"/>
          <w:b/>
          <w:color w:val="000080"/>
          <w:lang w:eastAsia="en-GB"/>
        </w:rPr>
        <w:t xml:space="preserve">ATTENDANCE REQUIREMENTS </w:t>
      </w:r>
    </w:p>
    <w:p w14:paraId="22C33771" w14:textId="79BDB873" w:rsidR="00BC31B1" w:rsidRPr="00234897" w:rsidRDefault="00BC31B1"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All students are required to attend all taught sessions related to modules and Professional Placement sessions as determined by their Student Programme Handbook. Attendance will be recorded and all absence is counted regardless of reason (apart from events which fall within the category of “Routinely Allowed Absence”</w:t>
      </w:r>
      <w:r w:rsidR="00AA4779" w:rsidRPr="00234897">
        <w:rPr>
          <w:rFonts w:ascii="Humnst777 BT" w:eastAsia="Times New Roman" w:hAnsi="Humnst777 BT" w:cs="Times New Roman"/>
          <w:lang w:eastAsia="en-GB"/>
        </w:rPr>
        <w:t>)</w:t>
      </w:r>
      <w:r w:rsidRPr="00234897">
        <w:rPr>
          <w:rFonts w:ascii="Humnst777 BT" w:eastAsia="Times New Roman" w:hAnsi="Humnst777 BT" w:cs="Times New Roman"/>
          <w:lang w:eastAsia="en-GB"/>
        </w:rPr>
        <w:t xml:space="preserve">. </w:t>
      </w:r>
    </w:p>
    <w:p w14:paraId="520B1099" w14:textId="30F08304" w:rsidR="00BC31B1" w:rsidRPr="00234897" w:rsidRDefault="00BC31B1"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Routinely Allowed Absence includes attenda</w:t>
      </w:r>
      <w:r w:rsidR="001A32C6" w:rsidRPr="00234897">
        <w:rPr>
          <w:rFonts w:ascii="Humnst777 BT" w:eastAsia="Times New Roman" w:hAnsi="Humnst777 BT" w:cs="Times New Roman"/>
          <w:lang w:eastAsia="en-GB"/>
        </w:rPr>
        <w:t>nce at funerals, job interviews</w:t>
      </w:r>
      <w:r w:rsidRPr="00234897">
        <w:rPr>
          <w:rFonts w:ascii="Humnst777 BT" w:eastAsia="Times New Roman" w:hAnsi="Humnst777 BT" w:cs="Times New Roman"/>
          <w:lang w:eastAsia="en-GB"/>
        </w:rPr>
        <w:t xml:space="preserve"> are exempt from the penalties listed below. However, students must make all possible efforts to minimise absence. </w:t>
      </w:r>
    </w:p>
    <w:p w14:paraId="4D0EB16E" w14:textId="0AAC70F5" w:rsidR="00BC31B1" w:rsidRPr="00234897" w:rsidRDefault="00BC31B1"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 xml:space="preserve">The </w:t>
      </w:r>
      <w:r w:rsidR="00AA4779" w:rsidRPr="00234897">
        <w:rPr>
          <w:rFonts w:ascii="Humnst777 BT" w:eastAsia="Times New Roman" w:hAnsi="Humnst777 BT" w:cs="Times New Roman"/>
          <w:lang w:eastAsia="en-GB"/>
        </w:rPr>
        <w:t xml:space="preserve">additional time required for </w:t>
      </w:r>
      <w:r w:rsidRPr="00234897">
        <w:rPr>
          <w:rFonts w:ascii="Humnst777 BT" w:eastAsia="Times New Roman" w:hAnsi="Humnst777 BT" w:cs="Times New Roman"/>
          <w:lang w:eastAsia="en-GB"/>
        </w:rPr>
        <w:t>absence (including certified illness and absences outside</w:t>
      </w:r>
      <w:r w:rsidR="0055043F" w:rsidRPr="00234897">
        <w:rPr>
          <w:rFonts w:ascii="Humnst777 BT" w:eastAsia="Times New Roman" w:hAnsi="Humnst777 BT" w:cs="Times New Roman"/>
          <w:lang w:eastAsia="en-GB"/>
        </w:rPr>
        <w:t xml:space="preserve"> of the routinely allowed absenc</w:t>
      </w:r>
      <w:r w:rsidRPr="00234897">
        <w:rPr>
          <w:rFonts w:ascii="Humnst777 BT" w:eastAsia="Times New Roman" w:hAnsi="Humnst777 BT" w:cs="Times New Roman"/>
          <w:lang w:eastAsia="en-GB"/>
        </w:rPr>
        <w:t xml:space="preserve">e) will be as follows: </w:t>
      </w:r>
    </w:p>
    <w:p w14:paraId="47B9ADD0" w14:textId="4B627BB1" w:rsidR="00BC31B1" w:rsidRPr="00234897" w:rsidRDefault="00BC31B1" w:rsidP="00D12379">
      <w:pPr>
        <w:spacing w:before="120" w:after="120" w:line="240" w:lineRule="auto"/>
        <w:jc w:val="both"/>
        <w:rPr>
          <w:rFonts w:ascii="Calibri" w:eastAsia="Calibri" w:hAnsi="Calibri" w:cs="Calibri"/>
          <w:lang w:eastAsia="ar-SA"/>
        </w:rPr>
      </w:pPr>
    </w:p>
    <w:tbl>
      <w:tblPr>
        <w:tblStyle w:val="TableGrid2"/>
        <w:tblW w:w="0" w:type="auto"/>
        <w:tblInd w:w="421" w:type="dxa"/>
        <w:tblLook w:val="04A0" w:firstRow="1" w:lastRow="0" w:firstColumn="1" w:lastColumn="0" w:noHBand="0" w:noVBand="1"/>
      </w:tblPr>
      <w:tblGrid>
        <w:gridCol w:w="1842"/>
        <w:gridCol w:w="6443"/>
      </w:tblGrid>
      <w:tr w:rsidR="002E0D82" w:rsidRPr="00234897" w14:paraId="0972DF0B" w14:textId="77777777" w:rsidTr="002E0D82">
        <w:tc>
          <w:tcPr>
            <w:tcW w:w="1842" w:type="dxa"/>
            <w:hideMark/>
          </w:tcPr>
          <w:p w14:paraId="7DE3A5AA" w14:textId="77777777" w:rsidR="002E0D82" w:rsidRPr="00234897" w:rsidRDefault="002E0D82" w:rsidP="00D12379">
            <w:pPr>
              <w:overflowPunct w:val="0"/>
              <w:autoSpaceDE w:val="0"/>
              <w:autoSpaceDN w:val="0"/>
              <w:adjustRightInd w:val="0"/>
              <w:spacing w:before="120" w:after="120"/>
              <w:jc w:val="both"/>
              <w:rPr>
                <w:rFonts w:cs="Calibri"/>
                <w:b/>
              </w:rPr>
            </w:pPr>
            <w:r w:rsidRPr="00234897">
              <w:rPr>
                <w:rFonts w:cs="Calibri"/>
                <w:b/>
              </w:rPr>
              <w:t>Absence from Professional Placement  and/or University sessions</w:t>
            </w:r>
          </w:p>
        </w:tc>
        <w:tc>
          <w:tcPr>
            <w:tcW w:w="6443" w:type="dxa"/>
          </w:tcPr>
          <w:p w14:paraId="21576BA3" w14:textId="3AF21B72" w:rsidR="002E0D82" w:rsidRPr="00234897" w:rsidRDefault="002E0D82" w:rsidP="00D12379">
            <w:pPr>
              <w:tabs>
                <w:tab w:val="left" w:pos="2646"/>
              </w:tabs>
              <w:spacing w:before="120" w:after="120"/>
              <w:jc w:val="both"/>
              <w:rPr>
                <w:rFonts w:cs="Calibri"/>
                <w:b/>
              </w:rPr>
            </w:pPr>
            <w:r w:rsidRPr="00234897">
              <w:rPr>
                <w:rFonts w:cs="Calibri"/>
                <w:b/>
              </w:rPr>
              <w:t xml:space="preserve">Additional time required </w:t>
            </w:r>
            <w:r w:rsidR="006B5212">
              <w:rPr>
                <w:rFonts w:cs="Calibri"/>
                <w:b/>
              </w:rPr>
              <w:t>(per level)</w:t>
            </w:r>
          </w:p>
          <w:p w14:paraId="31C90FE0" w14:textId="77777777" w:rsidR="002E0D82" w:rsidRPr="00234897" w:rsidRDefault="002E0D82" w:rsidP="00D12379">
            <w:pPr>
              <w:overflowPunct w:val="0"/>
              <w:autoSpaceDE w:val="0"/>
              <w:autoSpaceDN w:val="0"/>
              <w:adjustRightInd w:val="0"/>
              <w:spacing w:before="120" w:after="120"/>
              <w:jc w:val="both"/>
              <w:rPr>
                <w:rFonts w:cs="Calibri"/>
                <w:b/>
                <w:color w:val="000000"/>
              </w:rPr>
            </w:pPr>
          </w:p>
        </w:tc>
      </w:tr>
      <w:tr w:rsidR="002E0D82" w:rsidRPr="00234897" w14:paraId="22A2FCE8" w14:textId="77777777" w:rsidTr="002E0D82">
        <w:tc>
          <w:tcPr>
            <w:tcW w:w="1842" w:type="dxa"/>
            <w:hideMark/>
          </w:tcPr>
          <w:p w14:paraId="16E3543C" w14:textId="77777777" w:rsidR="002E0D82" w:rsidRPr="00234897" w:rsidRDefault="002E0D82" w:rsidP="00D12379">
            <w:pPr>
              <w:overflowPunct w:val="0"/>
              <w:autoSpaceDE w:val="0"/>
              <w:autoSpaceDN w:val="0"/>
              <w:adjustRightInd w:val="0"/>
              <w:spacing w:before="120" w:after="120"/>
              <w:jc w:val="both"/>
              <w:rPr>
                <w:rFonts w:cs="Calibri"/>
                <w:b/>
              </w:rPr>
            </w:pPr>
            <w:r w:rsidRPr="00234897">
              <w:rPr>
                <w:rFonts w:cs="Calibri"/>
                <w:b/>
              </w:rPr>
              <w:t>1-5 days</w:t>
            </w:r>
          </w:p>
        </w:tc>
        <w:tc>
          <w:tcPr>
            <w:tcW w:w="6443" w:type="dxa"/>
            <w:hideMark/>
          </w:tcPr>
          <w:p w14:paraId="2A232DDB" w14:textId="77777777" w:rsidR="002E0D82" w:rsidRPr="00234897" w:rsidRDefault="002E0D82" w:rsidP="00D12379">
            <w:pPr>
              <w:overflowPunct w:val="0"/>
              <w:autoSpaceDE w:val="0"/>
              <w:autoSpaceDN w:val="0"/>
              <w:adjustRightInd w:val="0"/>
              <w:spacing w:before="120" w:after="120"/>
              <w:jc w:val="both"/>
              <w:rPr>
                <w:rFonts w:cs="Calibri"/>
              </w:rPr>
            </w:pPr>
            <w:r w:rsidRPr="00234897">
              <w:rPr>
                <w:rFonts w:cs="Calibri"/>
              </w:rPr>
              <w:t>Nil</w:t>
            </w:r>
          </w:p>
        </w:tc>
      </w:tr>
      <w:tr w:rsidR="002E0D82" w:rsidRPr="00234897" w14:paraId="7D0EAD50" w14:textId="77777777" w:rsidTr="002E0D82">
        <w:tc>
          <w:tcPr>
            <w:tcW w:w="1842" w:type="dxa"/>
            <w:hideMark/>
          </w:tcPr>
          <w:p w14:paraId="61CD1BA8" w14:textId="77777777" w:rsidR="002E0D82" w:rsidRPr="00234897" w:rsidRDefault="002E0D82" w:rsidP="00D12379">
            <w:pPr>
              <w:overflowPunct w:val="0"/>
              <w:autoSpaceDE w:val="0"/>
              <w:autoSpaceDN w:val="0"/>
              <w:adjustRightInd w:val="0"/>
              <w:spacing w:before="120" w:after="120"/>
              <w:jc w:val="both"/>
              <w:rPr>
                <w:rFonts w:cs="Calibri"/>
                <w:b/>
              </w:rPr>
            </w:pPr>
            <w:r w:rsidRPr="00234897">
              <w:rPr>
                <w:rFonts w:cs="Calibri"/>
                <w:b/>
              </w:rPr>
              <w:t>6-10 days</w:t>
            </w:r>
          </w:p>
        </w:tc>
        <w:tc>
          <w:tcPr>
            <w:tcW w:w="6443" w:type="dxa"/>
            <w:hideMark/>
          </w:tcPr>
          <w:p w14:paraId="59504CC8" w14:textId="694E88BA" w:rsidR="005F3030" w:rsidRPr="00BB39CD" w:rsidRDefault="005F3030" w:rsidP="005F3030">
            <w:pPr>
              <w:spacing w:before="120" w:after="120"/>
              <w:ind w:left="360"/>
              <w:rPr>
                <w:rFonts w:cs="Calibri"/>
              </w:rPr>
            </w:pPr>
            <w:r w:rsidRPr="00BB39CD">
              <w:rPr>
                <w:rFonts w:cs="Calibri"/>
              </w:rPr>
              <w:t>At the Programme</w:t>
            </w:r>
            <w:r w:rsidR="002F3629">
              <w:rPr>
                <w:rFonts w:cs="Calibri"/>
              </w:rPr>
              <w:t>/Pathway</w:t>
            </w:r>
            <w:r w:rsidRPr="00BB39CD">
              <w:rPr>
                <w:rFonts w:cs="Calibri"/>
              </w:rPr>
              <w:t xml:space="preserve"> Director’s discretion, taking to account </w:t>
            </w:r>
          </w:p>
          <w:p w14:paraId="789E7F93" w14:textId="77777777" w:rsidR="005F3030" w:rsidRPr="00BB39CD" w:rsidRDefault="005F3030" w:rsidP="005F3030">
            <w:pPr>
              <w:pStyle w:val="ListParagraph"/>
              <w:numPr>
                <w:ilvl w:val="0"/>
                <w:numId w:val="43"/>
              </w:numPr>
              <w:spacing w:before="120" w:after="120"/>
              <w:rPr>
                <w:rFonts w:cs="Calibri"/>
              </w:rPr>
            </w:pPr>
            <w:r w:rsidRPr="00BB39CD">
              <w:rPr>
                <w:rFonts w:cs="Calibri"/>
              </w:rPr>
              <w:t>the extent to which absence has affected attendance at placement</w:t>
            </w:r>
          </w:p>
          <w:p w14:paraId="73913252" w14:textId="77777777" w:rsidR="005F3030" w:rsidRPr="00BB39CD" w:rsidRDefault="005F3030" w:rsidP="005F3030">
            <w:pPr>
              <w:pStyle w:val="ListParagraph"/>
              <w:numPr>
                <w:ilvl w:val="0"/>
                <w:numId w:val="43"/>
              </w:numPr>
              <w:spacing w:before="120" w:after="120"/>
              <w:rPr>
                <w:rFonts w:cs="Calibri"/>
              </w:rPr>
            </w:pPr>
            <w:r w:rsidRPr="00BB39CD">
              <w:rPr>
                <w:rFonts w:cs="Calibri"/>
              </w:rPr>
              <w:t>the extent to which Teachers’ Standards and programme requirements are likely to be met in remaining normal time.</w:t>
            </w:r>
          </w:p>
          <w:p w14:paraId="14AAF1E5" w14:textId="28F9402A" w:rsidR="002E0D82" w:rsidRPr="00234897" w:rsidRDefault="005F3030" w:rsidP="002F3629">
            <w:pPr>
              <w:overflowPunct w:val="0"/>
              <w:autoSpaceDE w:val="0"/>
              <w:autoSpaceDN w:val="0"/>
              <w:adjustRightInd w:val="0"/>
              <w:spacing w:before="120" w:after="120"/>
              <w:jc w:val="both"/>
              <w:rPr>
                <w:rFonts w:cs="Calibri"/>
              </w:rPr>
            </w:pPr>
            <w:r w:rsidRPr="00BB39CD">
              <w:rPr>
                <w:rFonts w:cs="Calibri"/>
              </w:rPr>
              <w:t>Discretionary judgements will be reported to the relevant Board of Examiners.</w:t>
            </w:r>
          </w:p>
        </w:tc>
      </w:tr>
      <w:tr w:rsidR="002E0D82" w:rsidRPr="00234897" w14:paraId="7E3726A1" w14:textId="77777777" w:rsidTr="002E0D82">
        <w:tc>
          <w:tcPr>
            <w:tcW w:w="1842" w:type="dxa"/>
            <w:hideMark/>
          </w:tcPr>
          <w:p w14:paraId="371BCF13" w14:textId="77777777" w:rsidR="002E0D82" w:rsidRPr="00234897" w:rsidRDefault="002E0D82" w:rsidP="00D12379">
            <w:pPr>
              <w:overflowPunct w:val="0"/>
              <w:autoSpaceDE w:val="0"/>
              <w:autoSpaceDN w:val="0"/>
              <w:adjustRightInd w:val="0"/>
              <w:spacing w:before="120" w:after="120"/>
              <w:jc w:val="both"/>
              <w:rPr>
                <w:rFonts w:cs="Calibri"/>
                <w:b/>
              </w:rPr>
            </w:pPr>
            <w:r w:rsidRPr="00234897">
              <w:rPr>
                <w:rFonts w:cs="Calibri"/>
                <w:b/>
              </w:rPr>
              <w:t>11-30 days</w:t>
            </w:r>
          </w:p>
        </w:tc>
        <w:tc>
          <w:tcPr>
            <w:tcW w:w="6443" w:type="dxa"/>
            <w:hideMark/>
          </w:tcPr>
          <w:p w14:paraId="40E3CCDE" w14:textId="1ABCC9BD" w:rsidR="002E0D82" w:rsidRPr="00234897" w:rsidRDefault="002E0D82" w:rsidP="00D12379">
            <w:pPr>
              <w:overflowPunct w:val="0"/>
              <w:autoSpaceDE w:val="0"/>
              <w:autoSpaceDN w:val="0"/>
              <w:adjustRightInd w:val="0"/>
              <w:spacing w:before="120" w:after="120"/>
              <w:jc w:val="both"/>
              <w:rPr>
                <w:rFonts w:cs="Calibri"/>
              </w:rPr>
            </w:pPr>
            <w:r w:rsidRPr="00234897">
              <w:rPr>
                <w:rFonts w:cs="Calibri"/>
              </w:rPr>
              <w:t xml:space="preserve">Required additional time, as specified by the particular </w:t>
            </w:r>
            <w:r w:rsidR="00D12379" w:rsidRPr="00234897">
              <w:rPr>
                <w:rFonts w:cs="Calibri"/>
              </w:rPr>
              <w:t>Programme D</w:t>
            </w:r>
            <w:r w:rsidRPr="00234897">
              <w:rPr>
                <w:rFonts w:cs="Calibri"/>
              </w:rPr>
              <w:t>irector</w:t>
            </w:r>
          </w:p>
        </w:tc>
      </w:tr>
      <w:tr w:rsidR="002E0D82" w:rsidRPr="00234897" w14:paraId="19FDE22F" w14:textId="77777777" w:rsidTr="002E0D82">
        <w:tc>
          <w:tcPr>
            <w:tcW w:w="1842" w:type="dxa"/>
            <w:hideMark/>
          </w:tcPr>
          <w:p w14:paraId="24D1E15B" w14:textId="77777777" w:rsidR="002E0D82" w:rsidRPr="00234897" w:rsidRDefault="002E0D82" w:rsidP="00D12379">
            <w:pPr>
              <w:overflowPunct w:val="0"/>
              <w:autoSpaceDE w:val="0"/>
              <w:autoSpaceDN w:val="0"/>
              <w:adjustRightInd w:val="0"/>
              <w:spacing w:before="120" w:after="120"/>
              <w:jc w:val="both"/>
              <w:rPr>
                <w:rFonts w:cs="Calibri"/>
                <w:b/>
              </w:rPr>
            </w:pPr>
            <w:r w:rsidRPr="00234897">
              <w:rPr>
                <w:rFonts w:cs="Calibri"/>
                <w:b/>
              </w:rPr>
              <w:t>Over 30 days</w:t>
            </w:r>
          </w:p>
        </w:tc>
        <w:tc>
          <w:tcPr>
            <w:tcW w:w="6443" w:type="dxa"/>
            <w:hideMark/>
          </w:tcPr>
          <w:p w14:paraId="22BF2512" w14:textId="57942A4E" w:rsidR="002E0D82" w:rsidRPr="00234897" w:rsidRDefault="002E0D82" w:rsidP="00D12379">
            <w:pPr>
              <w:overflowPunct w:val="0"/>
              <w:autoSpaceDE w:val="0"/>
              <w:autoSpaceDN w:val="0"/>
              <w:adjustRightInd w:val="0"/>
              <w:spacing w:before="120" w:after="120"/>
              <w:jc w:val="both"/>
              <w:rPr>
                <w:rFonts w:cs="Calibri"/>
              </w:rPr>
            </w:pPr>
            <w:r w:rsidRPr="00234897">
              <w:rPr>
                <w:rFonts w:cs="Calibri"/>
              </w:rPr>
              <w:t>Student must re-take the whole year or level.</w:t>
            </w:r>
          </w:p>
        </w:tc>
      </w:tr>
    </w:tbl>
    <w:p w14:paraId="27A08F2F" w14:textId="77777777" w:rsidR="00BC31B1" w:rsidRPr="00234897" w:rsidRDefault="00BC31B1" w:rsidP="00D12379">
      <w:pPr>
        <w:spacing w:before="120" w:after="120" w:line="240" w:lineRule="auto"/>
        <w:ind w:left="720"/>
        <w:jc w:val="both"/>
        <w:rPr>
          <w:rFonts w:ascii="Calibri" w:eastAsia="Calibri" w:hAnsi="Calibri" w:cs="Calibri"/>
          <w:lang w:eastAsia="ar-SA"/>
        </w:rPr>
      </w:pPr>
    </w:p>
    <w:p w14:paraId="55A1D06B" w14:textId="361E683D" w:rsidR="00BC31B1" w:rsidRPr="00234897" w:rsidRDefault="00BC31B1"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 xml:space="preserve">Students </w:t>
      </w:r>
      <w:r w:rsidR="0055043F" w:rsidRPr="00234897">
        <w:rPr>
          <w:rFonts w:ascii="Humnst777 BT" w:eastAsia="Times New Roman" w:hAnsi="Humnst777 BT" w:cs="Times New Roman"/>
          <w:lang w:eastAsia="en-GB"/>
        </w:rPr>
        <w:t>are</w:t>
      </w:r>
      <w:r w:rsidRPr="00234897">
        <w:rPr>
          <w:rFonts w:ascii="Humnst777 BT" w:eastAsia="Times New Roman" w:hAnsi="Humnst777 BT" w:cs="Times New Roman"/>
          <w:lang w:eastAsia="en-GB"/>
        </w:rPr>
        <w:t xml:space="preserve"> required to keep their own register of attendance during a professional placement, which will be signed by their mentor and checked by tutors at regular intervals. </w:t>
      </w:r>
    </w:p>
    <w:p w14:paraId="24637889" w14:textId="7D8273B4" w:rsidR="00BC31B1" w:rsidRPr="00234897" w:rsidRDefault="00BC31B1"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 xml:space="preserve">In the case of students who are unavoidably absent during a professional placement through illness or other good cause, the </w:t>
      </w:r>
      <w:r w:rsidR="00AA4779" w:rsidRPr="00234897">
        <w:rPr>
          <w:rFonts w:ascii="Humnst777 BT" w:eastAsia="Times New Roman" w:hAnsi="Humnst777 BT" w:cs="Times New Roman"/>
          <w:lang w:eastAsia="en-GB"/>
        </w:rPr>
        <w:t>Board of Examiners</w:t>
      </w:r>
      <w:r w:rsidRPr="00234897">
        <w:rPr>
          <w:rFonts w:ascii="Humnst777 BT" w:eastAsia="Times New Roman" w:hAnsi="Humnst777 BT" w:cs="Times New Roman"/>
          <w:lang w:eastAsia="en-GB"/>
        </w:rPr>
        <w:t xml:space="preserve"> may require the time missed to be made up on professional placement at a later date, usually at the end of the stage</w:t>
      </w:r>
      <w:r w:rsidR="00C42582" w:rsidRPr="00234897">
        <w:rPr>
          <w:rFonts w:ascii="Humnst777 BT" w:eastAsia="Times New Roman" w:hAnsi="Humnst777 BT" w:cs="Times New Roman"/>
          <w:lang w:eastAsia="en-GB"/>
        </w:rPr>
        <w:t xml:space="preserve"> </w:t>
      </w:r>
      <w:r w:rsidRPr="00234897">
        <w:rPr>
          <w:rFonts w:ascii="Humnst777 BT" w:eastAsia="Times New Roman" w:hAnsi="Humnst777 BT" w:cs="Times New Roman"/>
          <w:lang w:eastAsia="en-GB"/>
        </w:rPr>
        <w:t>/ year.</w:t>
      </w:r>
    </w:p>
    <w:p w14:paraId="72C099D6" w14:textId="0C19C19F" w:rsidR="00BC31B1" w:rsidRPr="00234897" w:rsidRDefault="00BC31B1" w:rsidP="00D12379">
      <w:pPr>
        <w:numPr>
          <w:ilvl w:val="0"/>
          <w:numId w:val="33"/>
        </w:numPr>
        <w:overflowPunct w:val="0"/>
        <w:autoSpaceDE w:val="0"/>
        <w:autoSpaceDN w:val="0"/>
        <w:adjustRightInd w:val="0"/>
        <w:spacing w:before="120" w:after="120" w:line="240" w:lineRule="auto"/>
        <w:ind w:left="357" w:hanging="357"/>
        <w:jc w:val="both"/>
        <w:textAlignment w:val="baseline"/>
        <w:rPr>
          <w:rFonts w:ascii="Humnst777 BT" w:eastAsia="Times New Roman" w:hAnsi="Humnst777 BT" w:cs="Times New Roman"/>
          <w:lang w:eastAsia="en-GB"/>
        </w:rPr>
      </w:pPr>
      <w:r w:rsidRPr="00234897">
        <w:rPr>
          <w:rFonts w:ascii="Humnst777 BT" w:eastAsia="Times New Roman" w:hAnsi="Humnst777 BT" w:cs="Times New Roman"/>
          <w:lang w:eastAsia="en-GB"/>
        </w:rPr>
        <w:t xml:space="preserve">Where absence is taken on more than one occasion (which falls outside of the routinely allowed absence), Tutors and Mentors will draw such absences to the attention of the relevant </w:t>
      </w:r>
      <w:r w:rsidR="00E36552" w:rsidRPr="00234897">
        <w:rPr>
          <w:rFonts w:ascii="Humnst777 BT" w:eastAsia="Times New Roman" w:hAnsi="Humnst777 BT" w:cs="Times New Roman"/>
          <w:lang w:eastAsia="en-GB"/>
        </w:rPr>
        <w:t>Programme</w:t>
      </w:r>
      <w:r w:rsidRPr="00234897">
        <w:rPr>
          <w:rFonts w:ascii="Humnst777 BT" w:eastAsia="Times New Roman" w:hAnsi="Humnst777 BT" w:cs="Times New Roman"/>
          <w:lang w:eastAsia="en-GB"/>
        </w:rPr>
        <w:t xml:space="preserve"> </w:t>
      </w:r>
      <w:r w:rsidR="002F3629">
        <w:rPr>
          <w:rFonts w:ascii="Humnst777 BT" w:eastAsia="Times New Roman" w:hAnsi="Humnst777 BT" w:cs="Times New Roman"/>
          <w:lang w:eastAsia="en-GB"/>
        </w:rPr>
        <w:t xml:space="preserve">/Pathway </w:t>
      </w:r>
      <w:r w:rsidRPr="00234897">
        <w:rPr>
          <w:rFonts w:ascii="Humnst777 BT" w:eastAsia="Times New Roman" w:hAnsi="Humnst777 BT" w:cs="Times New Roman"/>
          <w:lang w:eastAsia="en-GB"/>
        </w:rPr>
        <w:t xml:space="preserve">Director who will consult the Chair of the Board of Examiners to decide whether such absence </w:t>
      </w:r>
      <w:r w:rsidR="00AA4779" w:rsidRPr="00234897">
        <w:rPr>
          <w:rFonts w:ascii="Humnst777 BT" w:eastAsia="Times New Roman" w:hAnsi="Humnst777 BT" w:cs="Times New Roman"/>
          <w:lang w:eastAsia="en-GB"/>
        </w:rPr>
        <w:t xml:space="preserve">deserves </w:t>
      </w:r>
      <w:r w:rsidRPr="00234897">
        <w:rPr>
          <w:rFonts w:ascii="Humnst777 BT" w:eastAsia="Times New Roman" w:hAnsi="Humnst777 BT" w:cs="Times New Roman"/>
          <w:lang w:eastAsia="en-GB"/>
        </w:rPr>
        <w:t xml:space="preserve">the designation of </w:t>
      </w:r>
      <w:r w:rsidR="003C3A33" w:rsidRPr="00234897">
        <w:rPr>
          <w:rFonts w:ascii="Humnst777 BT" w:eastAsia="Times New Roman" w:hAnsi="Humnst777 BT" w:cs="Times New Roman"/>
          <w:lang w:eastAsia="en-GB"/>
        </w:rPr>
        <w:t>‘</w:t>
      </w:r>
      <w:r w:rsidRPr="00234897">
        <w:rPr>
          <w:rFonts w:ascii="Humnst777 BT" w:eastAsia="Times New Roman" w:hAnsi="Humnst777 BT" w:cs="Times New Roman"/>
          <w:lang w:eastAsia="en-GB"/>
        </w:rPr>
        <w:t>Unsatisfactory</w:t>
      </w:r>
      <w:r w:rsidR="003C3A33" w:rsidRPr="00234897">
        <w:rPr>
          <w:rFonts w:ascii="Humnst777 BT" w:eastAsia="Times New Roman" w:hAnsi="Humnst777 BT" w:cs="Times New Roman"/>
          <w:lang w:eastAsia="en-GB"/>
        </w:rPr>
        <w:t>’</w:t>
      </w:r>
      <w:r w:rsidRPr="00234897">
        <w:rPr>
          <w:rFonts w:ascii="Humnst777 BT" w:eastAsia="Times New Roman" w:hAnsi="Humnst777 BT" w:cs="Times New Roman"/>
          <w:lang w:eastAsia="en-GB"/>
        </w:rPr>
        <w:t>.</w:t>
      </w:r>
    </w:p>
    <w:p w14:paraId="6DB93789" w14:textId="77777777" w:rsidR="002E0D82" w:rsidRPr="008515B6" w:rsidRDefault="002E0D82" w:rsidP="00D12379">
      <w:pPr>
        <w:overflowPunct w:val="0"/>
        <w:autoSpaceDE w:val="0"/>
        <w:autoSpaceDN w:val="0"/>
        <w:adjustRightInd w:val="0"/>
        <w:spacing w:before="120" w:after="120" w:line="240" w:lineRule="auto"/>
        <w:ind w:left="357"/>
        <w:jc w:val="both"/>
        <w:textAlignment w:val="baseline"/>
        <w:rPr>
          <w:rFonts w:ascii="Humnst777 BT" w:eastAsia="Times New Roman" w:hAnsi="Humnst777 BT" w:cs="Times New Roman"/>
          <w:lang w:eastAsia="en-GB"/>
        </w:rPr>
      </w:pPr>
    </w:p>
    <w:p w14:paraId="18862ECE" w14:textId="65BD74BF" w:rsidR="00B80DCF" w:rsidRPr="00B80DCF" w:rsidRDefault="009D5D59" w:rsidP="00D12379">
      <w:pPr>
        <w:spacing w:before="120" w:after="120" w:line="240" w:lineRule="auto"/>
        <w:jc w:val="both"/>
        <w:rPr>
          <w:rFonts w:ascii="Humnst777 BT" w:hAnsi="Humnst777 BT"/>
        </w:rPr>
      </w:pPr>
      <w:r>
        <w:rPr>
          <w:rFonts w:ascii="Humnst777 BT" w:hAnsi="Humnst777 BT"/>
        </w:rPr>
        <w:t>Rea</w:t>
      </w:r>
      <w:bookmarkStart w:id="0" w:name="_GoBack"/>
      <w:bookmarkEnd w:id="0"/>
      <w:r>
        <w:rPr>
          <w:rFonts w:ascii="Humnst777 BT" w:hAnsi="Humnst777 BT"/>
        </w:rPr>
        <w:t>pproved by Academic Board, 05/09/2018.</w:t>
      </w:r>
    </w:p>
    <w:sectPr w:rsidR="00B80DCF" w:rsidRPr="00B80D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998B" w14:textId="77777777" w:rsidR="00B80DCF" w:rsidRDefault="00B80DCF" w:rsidP="00B80DCF">
      <w:pPr>
        <w:spacing w:after="0" w:line="240" w:lineRule="auto"/>
      </w:pPr>
      <w:r>
        <w:separator/>
      </w:r>
    </w:p>
  </w:endnote>
  <w:endnote w:type="continuationSeparator" w:id="0">
    <w:p w14:paraId="1BFEC02A" w14:textId="77777777" w:rsidR="00B80DCF" w:rsidRDefault="00B80DCF" w:rsidP="00B8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732A7" w14:textId="77777777" w:rsidR="00B80DCF" w:rsidRDefault="00B80DCF" w:rsidP="00B80DCF">
      <w:pPr>
        <w:spacing w:after="0" w:line="240" w:lineRule="auto"/>
      </w:pPr>
      <w:r>
        <w:separator/>
      </w:r>
    </w:p>
  </w:footnote>
  <w:footnote w:type="continuationSeparator" w:id="0">
    <w:p w14:paraId="382A08D2" w14:textId="77777777" w:rsidR="00B80DCF" w:rsidRDefault="00B80DCF" w:rsidP="00B80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DC1"/>
    <w:multiLevelType w:val="hybridMultilevel"/>
    <w:tmpl w:val="8F68EE5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91BD4"/>
    <w:multiLevelType w:val="hybridMultilevel"/>
    <w:tmpl w:val="0602C8B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75E1C"/>
    <w:multiLevelType w:val="hybridMultilevel"/>
    <w:tmpl w:val="5792DC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B5CAF"/>
    <w:multiLevelType w:val="hybridMultilevel"/>
    <w:tmpl w:val="D9F886C0"/>
    <w:lvl w:ilvl="0" w:tplc="0809001B">
      <w:start w:val="1"/>
      <w:numFmt w:val="lowerRoman"/>
      <w:lvlText w:val="%1."/>
      <w:lvlJc w:val="righ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245E71D7"/>
    <w:multiLevelType w:val="multilevel"/>
    <w:tmpl w:val="8D0437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1D3357D"/>
    <w:multiLevelType w:val="hybridMultilevel"/>
    <w:tmpl w:val="7B248F6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B5204E"/>
    <w:multiLevelType w:val="hybridMultilevel"/>
    <w:tmpl w:val="0DD617C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3C1F3674"/>
    <w:multiLevelType w:val="hybridMultilevel"/>
    <w:tmpl w:val="0F3E1A10"/>
    <w:lvl w:ilvl="0" w:tplc="907A0DA6">
      <w:start w:val="1"/>
      <w:numFmt w:val="decimal"/>
      <w:lvlText w:val="%1."/>
      <w:lvlJc w:val="left"/>
      <w:pPr>
        <w:ind w:left="720" w:hanging="360"/>
      </w:pPr>
    </w:lvl>
    <w:lvl w:ilvl="1" w:tplc="6C1AAC4A">
      <w:start w:val="1"/>
      <w:numFmt w:val="lowerRoman"/>
      <w:pStyle w:val="ListParagraph2"/>
      <w:lvlText w:val="(%2)"/>
      <w:lvlJc w:val="right"/>
      <w:pPr>
        <w:ind w:left="1440" w:hanging="360"/>
      </w:pPr>
      <w:rPr>
        <w:rFonts w:ascii="Humnst777 BT" w:eastAsia="Calibri" w:hAnsi="Humnst777 BT"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F341F"/>
    <w:multiLevelType w:val="multilevel"/>
    <w:tmpl w:val="A112A040"/>
    <w:lvl w:ilvl="0">
      <w:start w:val="1"/>
      <w:numFmt w:val="decimal"/>
      <w:pStyle w:val="Heading2"/>
      <w:lvlText w:val="%1"/>
      <w:lvlJc w:val="left"/>
      <w:pPr>
        <w:ind w:left="349" w:hanging="360"/>
      </w:pPr>
      <w:rPr>
        <w:rFonts w:ascii="Humnst777 BT" w:eastAsia="Calibri" w:hAnsi="Humnst777 BT" w:cs="Times New Roman" w:hint="default"/>
        <w:b/>
      </w:rPr>
    </w:lvl>
    <w:lvl w:ilvl="1">
      <w:start w:val="1"/>
      <w:numFmt w:val="decimal"/>
      <w:pStyle w:val="ListParagraph1"/>
      <w:isLgl/>
      <w:lvlText w:val="%1.%2"/>
      <w:lvlJc w:val="left"/>
      <w:pPr>
        <w:ind w:left="720" w:hanging="720"/>
      </w:pPr>
      <w:rPr>
        <w:rFonts w:ascii="Humnst777 BT" w:hAnsi="Humnst777 BT" w:hint="default"/>
        <w:b w:val="0"/>
        <w:strike w:val="0"/>
        <w:color w:val="auto"/>
        <w:sz w:val="22"/>
        <w:szCs w:val="22"/>
      </w:rPr>
    </w:lvl>
    <w:lvl w:ilvl="2">
      <w:start w:val="1"/>
      <w:numFmt w:val="decimal"/>
      <w:isLgl/>
      <w:lvlText w:val="%1.%2.%3"/>
      <w:lvlJc w:val="left"/>
      <w:pPr>
        <w:ind w:left="731" w:hanging="720"/>
      </w:pPr>
      <w:rPr>
        <w:rFonts w:hint="default"/>
        <w:b w:val="0"/>
        <w:sz w:val="22"/>
        <w:szCs w:val="22"/>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9" w15:restartNumberingAfterBreak="0">
    <w:nsid w:val="44D90B4F"/>
    <w:multiLevelType w:val="hybridMultilevel"/>
    <w:tmpl w:val="CC289D4E"/>
    <w:lvl w:ilvl="0" w:tplc="08090019">
      <w:start w:val="1"/>
      <w:numFmt w:val="lowerLetter"/>
      <w:lvlText w:val="%1."/>
      <w:lvlJc w:val="left"/>
      <w:pPr>
        <w:ind w:left="720" w:hanging="360"/>
      </w:pPr>
    </w:lvl>
    <w:lvl w:ilvl="1" w:tplc="41327FB8">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A6526"/>
    <w:multiLevelType w:val="hybridMultilevel"/>
    <w:tmpl w:val="2F82F9E0"/>
    <w:lvl w:ilvl="0" w:tplc="5F5490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1603C"/>
    <w:multiLevelType w:val="hybridMultilevel"/>
    <w:tmpl w:val="69544A9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337468"/>
    <w:multiLevelType w:val="hybridMultilevel"/>
    <w:tmpl w:val="382098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F4A6A"/>
    <w:multiLevelType w:val="hybridMultilevel"/>
    <w:tmpl w:val="D14841DA"/>
    <w:lvl w:ilvl="0" w:tplc="8740119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C19CD"/>
    <w:multiLevelType w:val="hybridMultilevel"/>
    <w:tmpl w:val="F0CED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5E5896"/>
    <w:multiLevelType w:val="hybridMultilevel"/>
    <w:tmpl w:val="0DD617C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58D532A1"/>
    <w:multiLevelType w:val="hybridMultilevel"/>
    <w:tmpl w:val="0602C8B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B5F17"/>
    <w:multiLevelType w:val="hybridMultilevel"/>
    <w:tmpl w:val="0B0AE350"/>
    <w:lvl w:ilvl="0" w:tplc="8E5E25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AD6346"/>
    <w:multiLevelType w:val="hybridMultilevel"/>
    <w:tmpl w:val="89A284F8"/>
    <w:lvl w:ilvl="0" w:tplc="08090019">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6866C89"/>
    <w:multiLevelType w:val="multilevel"/>
    <w:tmpl w:val="99799376"/>
    <w:lvl w:ilvl="0">
      <w:start w:val="1"/>
      <w:numFmt w:val="decimal"/>
      <w:lvlText w:val="%1"/>
      <w:lvlJc w:val="left"/>
      <w:pPr>
        <w:tabs>
          <w:tab w:val="num" w:pos="360"/>
        </w:tabs>
        <w:ind w:left="360" w:hanging="360"/>
      </w:pPr>
      <w:rPr>
        <w:rFonts w:ascii="Humnst777 BT" w:eastAsia="Humnst777 BT" w:hAnsi="Humnst777 BT" w:hint="default"/>
        <w:b w:val="0"/>
        <w:color w:val="auto"/>
      </w:rPr>
    </w:lvl>
    <w:lvl w:ilvl="1">
      <w:start w:val="1"/>
      <w:numFmt w:val="lowerLetter"/>
      <w:lvlText w:val="%2."/>
      <w:lvlJc w:val="left"/>
      <w:pPr>
        <w:tabs>
          <w:tab w:val="num" w:pos="1080"/>
        </w:tabs>
        <w:ind w:left="1080" w:hanging="360"/>
      </w:pPr>
      <w:rPr>
        <w:b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D1F7C65"/>
    <w:multiLevelType w:val="multilevel"/>
    <w:tmpl w:val="C7CC7F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4DC6485"/>
    <w:multiLevelType w:val="hybridMultilevel"/>
    <w:tmpl w:val="7D0A8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871E7C"/>
    <w:multiLevelType w:val="hybridMultilevel"/>
    <w:tmpl w:val="D14841DA"/>
    <w:lvl w:ilvl="0" w:tplc="8740119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B317BF"/>
    <w:multiLevelType w:val="hybridMultilevel"/>
    <w:tmpl w:val="7D0A8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0"/>
  </w:num>
  <w:num w:numId="5">
    <w:abstractNumId w:val="17"/>
  </w:num>
  <w:num w:numId="6">
    <w:abstractNumId w:val="22"/>
  </w:num>
  <w:num w:numId="7">
    <w:abstractNumId w:val="7"/>
  </w:num>
  <w:num w:numId="8">
    <w:abstractNumId w:val="7"/>
  </w:num>
  <w:num w:numId="9">
    <w:abstractNumId w:val="10"/>
  </w:num>
  <w:num w:numId="10">
    <w:abstractNumId w:val="16"/>
  </w:num>
  <w:num w:numId="11">
    <w:abstractNumId w:val="0"/>
  </w:num>
  <w:num w:numId="12">
    <w:abstractNumId w:val="1"/>
  </w:num>
  <w:num w:numId="13">
    <w:abstractNumId w:val="8"/>
  </w:num>
  <w:num w:numId="14">
    <w:abstractNumId w:val="8"/>
  </w:num>
  <w:num w:numId="15">
    <w:abstractNumId w:val="8"/>
  </w:num>
  <w:num w:numId="16">
    <w:abstractNumId w:val="13"/>
  </w:num>
  <w:num w:numId="17">
    <w:abstractNumId w:val="8"/>
  </w:num>
  <w:num w:numId="18">
    <w:abstractNumId w:val="8"/>
  </w:num>
  <w:num w:numId="19">
    <w:abstractNumId w:val="18"/>
  </w:num>
  <w:num w:numId="20">
    <w:abstractNumId w:val="9"/>
  </w:num>
  <w:num w:numId="21">
    <w:abstractNumId w:val="23"/>
  </w:num>
  <w:num w:numId="22">
    <w:abstractNumId w:val="7"/>
  </w:num>
  <w:num w:numId="23">
    <w:abstractNumId w:val="21"/>
  </w:num>
  <w:num w:numId="24">
    <w:abstractNumId w:val="5"/>
  </w:num>
  <w:num w:numId="25">
    <w:abstractNumId w:val="7"/>
  </w:num>
  <w:num w:numId="26">
    <w:abstractNumId w:val="8"/>
  </w:num>
  <w:num w:numId="27">
    <w:abstractNumId w:val="7"/>
  </w:num>
  <w:num w:numId="28">
    <w:abstractNumId w:val="6"/>
  </w:num>
  <w:num w:numId="29">
    <w:abstractNumId w:val="7"/>
  </w:num>
  <w:num w:numId="30">
    <w:abstractNumId w:val="15"/>
  </w:num>
  <w:num w:numId="31">
    <w:abstractNumId w:val="11"/>
  </w:num>
  <w:num w:numId="32">
    <w:abstractNumId w:val="7"/>
  </w:num>
  <w:num w:numId="33">
    <w:abstractNumId w:val="19"/>
  </w:num>
  <w:num w:numId="34">
    <w:abstractNumId w:val="8"/>
  </w:num>
  <w:num w:numId="35">
    <w:abstractNumId w:val="7"/>
  </w:num>
  <w:num w:numId="36">
    <w:abstractNumId w:val="8"/>
  </w:num>
  <w:num w:numId="37">
    <w:abstractNumId w:val="8"/>
  </w:num>
  <w:num w:numId="38">
    <w:abstractNumId w:val="8"/>
  </w:num>
  <w:num w:numId="39">
    <w:abstractNumId w:val="8"/>
  </w:num>
  <w:num w:numId="40">
    <w:abstractNumId w:val="2"/>
  </w:num>
  <w:num w:numId="41">
    <w:abstractNumId w:val="3"/>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CF"/>
    <w:rsid w:val="00061BF3"/>
    <w:rsid w:val="00123F7B"/>
    <w:rsid w:val="001356F3"/>
    <w:rsid w:val="00182C2B"/>
    <w:rsid w:val="001A32C6"/>
    <w:rsid w:val="001B4818"/>
    <w:rsid w:val="001B54FE"/>
    <w:rsid w:val="00206593"/>
    <w:rsid w:val="00225E86"/>
    <w:rsid w:val="00234897"/>
    <w:rsid w:val="002B13C7"/>
    <w:rsid w:val="002D055C"/>
    <w:rsid w:val="002E0D82"/>
    <w:rsid w:val="002E1C7F"/>
    <w:rsid w:val="002F3629"/>
    <w:rsid w:val="002F3E3E"/>
    <w:rsid w:val="003C3A33"/>
    <w:rsid w:val="0040511A"/>
    <w:rsid w:val="00446082"/>
    <w:rsid w:val="0046260D"/>
    <w:rsid w:val="004A4B0C"/>
    <w:rsid w:val="004C1DEA"/>
    <w:rsid w:val="004D4135"/>
    <w:rsid w:val="0055043F"/>
    <w:rsid w:val="005F3030"/>
    <w:rsid w:val="005F58DA"/>
    <w:rsid w:val="006424D3"/>
    <w:rsid w:val="00653616"/>
    <w:rsid w:val="006B5212"/>
    <w:rsid w:val="0070480D"/>
    <w:rsid w:val="0075101E"/>
    <w:rsid w:val="007659D0"/>
    <w:rsid w:val="007A458E"/>
    <w:rsid w:val="007F5026"/>
    <w:rsid w:val="008016E8"/>
    <w:rsid w:val="00837DA4"/>
    <w:rsid w:val="008515B6"/>
    <w:rsid w:val="00886C8E"/>
    <w:rsid w:val="008C6EB3"/>
    <w:rsid w:val="00960560"/>
    <w:rsid w:val="009B1E4A"/>
    <w:rsid w:val="009D5D59"/>
    <w:rsid w:val="00A40C96"/>
    <w:rsid w:val="00AA4779"/>
    <w:rsid w:val="00AB5C62"/>
    <w:rsid w:val="00B16D64"/>
    <w:rsid w:val="00B22C2D"/>
    <w:rsid w:val="00B80DCF"/>
    <w:rsid w:val="00BB39CD"/>
    <w:rsid w:val="00BC31B1"/>
    <w:rsid w:val="00BC619D"/>
    <w:rsid w:val="00BE35B8"/>
    <w:rsid w:val="00C42582"/>
    <w:rsid w:val="00D12379"/>
    <w:rsid w:val="00D45B07"/>
    <w:rsid w:val="00D70438"/>
    <w:rsid w:val="00D76BCD"/>
    <w:rsid w:val="00DC4E10"/>
    <w:rsid w:val="00DC5574"/>
    <w:rsid w:val="00E36552"/>
    <w:rsid w:val="00E758ED"/>
    <w:rsid w:val="00EE3DC4"/>
    <w:rsid w:val="00EF1EBD"/>
    <w:rsid w:val="00F3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68BA"/>
  <w15:chartTrackingRefBased/>
  <w15:docId w15:val="{E4D59067-46C8-44C9-8D4A-EA46F975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80DCF"/>
    <w:pPr>
      <w:keepNext/>
      <w:numPr>
        <w:numId w:val="3"/>
      </w:numPr>
      <w:spacing w:before="240" w:after="240" w:line="240" w:lineRule="auto"/>
      <w:jc w:val="both"/>
      <w:outlineLvl w:val="1"/>
    </w:pPr>
    <w:rPr>
      <w:rFonts w:ascii="Humnst777 BT" w:hAnsi="Humnst777 BT"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 2"/>
    <w:basedOn w:val="ListParagraph"/>
    <w:link w:val="ListParagraph2Char"/>
    <w:qFormat/>
    <w:rsid w:val="00B80DCF"/>
    <w:pPr>
      <w:numPr>
        <w:ilvl w:val="1"/>
        <w:numId w:val="1"/>
      </w:numPr>
      <w:spacing w:before="120" w:after="120" w:line="240" w:lineRule="auto"/>
      <w:contextualSpacing w:val="0"/>
      <w:jc w:val="both"/>
    </w:pPr>
    <w:rPr>
      <w:rFonts w:ascii="Humnst777 BT" w:hAnsi="Humnst777 BT" w:cs="Arial"/>
    </w:rPr>
  </w:style>
  <w:style w:type="character" w:customStyle="1" w:styleId="ListParagraph2Char">
    <w:name w:val="List Paragraph 2 Char"/>
    <w:basedOn w:val="DefaultParagraphFont"/>
    <w:link w:val="ListParagraph2"/>
    <w:rsid w:val="00B80DCF"/>
    <w:rPr>
      <w:rFonts w:ascii="Humnst777 BT" w:hAnsi="Humnst777 BT" w:cs="Arial"/>
    </w:rPr>
  </w:style>
  <w:style w:type="paragraph" w:styleId="ListParagraph">
    <w:name w:val="List Paragraph"/>
    <w:basedOn w:val="Normal"/>
    <w:link w:val="ListParagraphChar"/>
    <w:uiPriority w:val="34"/>
    <w:qFormat/>
    <w:rsid w:val="00B80DCF"/>
    <w:pPr>
      <w:ind w:left="720"/>
      <w:contextualSpacing/>
    </w:pPr>
  </w:style>
  <w:style w:type="character" w:customStyle="1" w:styleId="Heading2Char">
    <w:name w:val="Heading 2 Char"/>
    <w:basedOn w:val="DefaultParagraphFont"/>
    <w:link w:val="Heading2"/>
    <w:uiPriority w:val="9"/>
    <w:rsid w:val="00B80DCF"/>
    <w:rPr>
      <w:rFonts w:ascii="Humnst777 BT" w:hAnsi="Humnst777 BT" w:cs="Times New Roman"/>
      <w:b/>
      <w:sz w:val="24"/>
      <w:szCs w:val="24"/>
    </w:rPr>
  </w:style>
  <w:style w:type="paragraph" w:customStyle="1" w:styleId="ListParagraph1">
    <w:name w:val="List Paragraph 1"/>
    <w:basedOn w:val="ListParagraph"/>
    <w:link w:val="ListParagraph1Char"/>
    <w:qFormat/>
    <w:rsid w:val="00B80DCF"/>
    <w:pPr>
      <w:numPr>
        <w:ilvl w:val="1"/>
        <w:numId w:val="3"/>
      </w:numPr>
      <w:spacing w:before="120" w:after="120" w:line="276" w:lineRule="auto"/>
      <w:contextualSpacing w:val="0"/>
      <w:jc w:val="both"/>
    </w:pPr>
    <w:rPr>
      <w:rFonts w:ascii="Humnst777 BT" w:hAnsi="Humnst777 BT" w:cs="Times New Roman"/>
      <w:lang w:val="en-US"/>
    </w:rPr>
  </w:style>
  <w:style w:type="character" w:customStyle="1" w:styleId="ListParagraph1Char">
    <w:name w:val="List Paragraph 1 Char"/>
    <w:basedOn w:val="DefaultParagraphFont"/>
    <w:link w:val="ListParagraph1"/>
    <w:rsid w:val="00B80DCF"/>
    <w:rPr>
      <w:rFonts w:ascii="Humnst777 BT" w:hAnsi="Humnst777 BT" w:cs="Times New Roman"/>
      <w:lang w:val="en-US"/>
    </w:rPr>
  </w:style>
  <w:style w:type="character" w:customStyle="1" w:styleId="ListParagraphChar">
    <w:name w:val="List Paragraph Char"/>
    <w:basedOn w:val="DefaultParagraphFont"/>
    <w:link w:val="ListParagraph"/>
    <w:uiPriority w:val="34"/>
    <w:rsid w:val="00B80DCF"/>
  </w:style>
  <w:style w:type="paragraph" w:styleId="FootnoteText">
    <w:name w:val="footnote text"/>
    <w:basedOn w:val="Normal"/>
    <w:link w:val="FootnoteTextChar"/>
    <w:rsid w:val="00B80DCF"/>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character" w:customStyle="1" w:styleId="FootnoteTextChar">
    <w:name w:val="Footnote Text Char"/>
    <w:basedOn w:val="DefaultParagraphFont"/>
    <w:link w:val="FootnoteText"/>
    <w:rsid w:val="00B80DCF"/>
    <w:rPr>
      <w:rFonts w:ascii="Book Antiqua" w:eastAsia="Times New Roman" w:hAnsi="Book Antiqua" w:cs="Times New Roman"/>
      <w:sz w:val="20"/>
      <w:szCs w:val="20"/>
    </w:rPr>
  </w:style>
  <w:style w:type="character" w:styleId="FootnoteReference">
    <w:name w:val="footnote reference"/>
    <w:rsid w:val="00B80DCF"/>
    <w:rPr>
      <w:vertAlign w:val="superscript"/>
    </w:rPr>
  </w:style>
  <w:style w:type="character" w:styleId="CommentReference">
    <w:name w:val="annotation reference"/>
    <w:basedOn w:val="DefaultParagraphFont"/>
    <w:uiPriority w:val="99"/>
    <w:semiHidden/>
    <w:unhideWhenUsed/>
    <w:rsid w:val="00BC31B1"/>
    <w:rPr>
      <w:sz w:val="16"/>
      <w:szCs w:val="16"/>
    </w:rPr>
  </w:style>
  <w:style w:type="paragraph" w:styleId="CommentText">
    <w:name w:val="annotation text"/>
    <w:basedOn w:val="Normal"/>
    <w:link w:val="CommentTextChar"/>
    <w:uiPriority w:val="99"/>
    <w:unhideWhenUsed/>
    <w:rsid w:val="00BC31B1"/>
    <w:pPr>
      <w:spacing w:line="240" w:lineRule="auto"/>
    </w:pPr>
    <w:rPr>
      <w:sz w:val="20"/>
      <w:szCs w:val="20"/>
    </w:rPr>
  </w:style>
  <w:style w:type="character" w:customStyle="1" w:styleId="CommentTextChar">
    <w:name w:val="Comment Text Char"/>
    <w:basedOn w:val="DefaultParagraphFont"/>
    <w:link w:val="CommentText"/>
    <w:uiPriority w:val="99"/>
    <w:rsid w:val="00BC31B1"/>
    <w:rPr>
      <w:sz w:val="20"/>
      <w:szCs w:val="20"/>
    </w:rPr>
  </w:style>
  <w:style w:type="table" w:customStyle="1" w:styleId="TableGrid2">
    <w:name w:val="Table Grid2"/>
    <w:basedOn w:val="TableNormal"/>
    <w:next w:val="TableGrid"/>
    <w:uiPriority w:val="39"/>
    <w:rsid w:val="00BC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31B1"/>
    <w:rPr>
      <w:b/>
      <w:bCs/>
    </w:rPr>
  </w:style>
  <w:style w:type="character" w:customStyle="1" w:styleId="CommentSubjectChar">
    <w:name w:val="Comment Subject Char"/>
    <w:basedOn w:val="CommentTextChar"/>
    <w:link w:val="CommentSubject"/>
    <w:uiPriority w:val="99"/>
    <w:semiHidden/>
    <w:rsid w:val="00BC31B1"/>
    <w:rPr>
      <w:b/>
      <w:bCs/>
      <w:sz w:val="20"/>
      <w:szCs w:val="20"/>
    </w:rPr>
  </w:style>
  <w:style w:type="paragraph" w:styleId="Revision">
    <w:name w:val="Revision"/>
    <w:hidden/>
    <w:uiPriority w:val="99"/>
    <w:semiHidden/>
    <w:rsid w:val="00D70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1532-9B40-4310-A1D8-DC5903B6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70AF642D</Template>
  <TotalTime>1</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Richard (richard.brown1@canterbury.ac.uk)</dc:creator>
  <cp:keywords/>
  <dc:description/>
  <cp:lastModifiedBy>Collins, Suzanne (suzanne.collins@canterbury.ac.uk)</cp:lastModifiedBy>
  <cp:revision>4</cp:revision>
  <cp:lastPrinted>2018-05-11T15:05:00Z</cp:lastPrinted>
  <dcterms:created xsi:type="dcterms:W3CDTF">2018-08-08T13:42:00Z</dcterms:created>
  <dcterms:modified xsi:type="dcterms:W3CDTF">2018-09-06T08:54:00Z</dcterms:modified>
</cp:coreProperties>
</file>