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F5" w:rsidRPr="003E6141" w:rsidRDefault="002965F5" w:rsidP="003E6141">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SPECIAL REGULATIONS: BSc (HONS) Nursing (Child) Programme </w:t>
      </w:r>
    </w:p>
    <w:p w:rsidR="0018783B" w:rsidRPr="002965F5" w:rsidRDefault="0018783B" w:rsidP="002965F5">
      <w:pPr>
        <w:pStyle w:val="Default"/>
        <w:rPr>
          <w:rFonts w:ascii="Humnst777 Lt BT" w:hAnsi="Humnst777 Lt BT"/>
          <w:sz w:val="22"/>
          <w:szCs w:val="22"/>
        </w:rPr>
      </w:pPr>
    </w:p>
    <w:p w:rsidR="002965F5" w:rsidRDefault="002965F5" w:rsidP="003E6141">
      <w:pPr>
        <w:overflowPunct w:val="0"/>
        <w:autoSpaceDE w:val="0"/>
        <w:autoSpaceDN w:val="0"/>
        <w:adjustRightInd w:val="0"/>
        <w:spacing w:after="0" w:line="240" w:lineRule="auto"/>
        <w:jc w:val="both"/>
        <w:textAlignment w:val="baseline"/>
        <w:rPr>
          <w:rFonts w:ascii="Humnst777 BT" w:hAnsi="Humnst777 BT"/>
          <w:b/>
          <w:bCs/>
        </w:rPr>
      </w:pPr>
      <w:r w:rsidRPr="003E6141">
        <w:rPr>
          <w:rFonts w:ascii="Humnst777 BT" w:eastAsia="Humnst777 BT" w:hAnsi="Humnst777 BT" w:cs="Times New Roman"/>
          <w:b/>
          <w:color w:val="000080"/>
          <w:lang w:eastAsia="en-GB"/>
        </w:rPr>
        <w:t>INTRODUCTION</w:t>
      </w:r>
      <w:r w:rsidRPr="003E6141">
        <w:rPr>
          <w:rFonts w:ascii="Humnst777 BT" w:hAnsi="Humnst777 BT"/>
          <w:b/>
          <w:bCs/>
        </w:rPr>
        <w:t xml:space="preserve"> </w:t>
      </w:r>
    </w:p>
    <w:p w:rsidR="003E6141" w:rsidRPr="003E6141" w:rsidRDefault="003E6141" w:rsidP="003E6141">
      <w:pPr>
        <w:overflowPunct w:val="0"/>
        <w:autoSpaceDE w:val="0"/>
        <w:autoSpaceDN w:val="0"/>
        <w:adjustRightInd w:val="0"/>
        <w:spacing w:after="0" w:line="240" w:lineRule="auto"/>
        <w:jc w:val="both"/>
        <w:textAlignment w:val="baseline"/>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These Special Regulations relate only to the following programme: </w:t>
      </w:r>
    </w:p>
    <w:p w:rsidR="002965F5" w:rsidRPr="003E6141" w:rsidRDefault="002965F5" w:rsidP="002965F5">
      <w:pPr>
        <w:pStyle w:val="Default"/>
        <w:rPr>
          <w:sz w:val="22"/>
          <w:szCs w:val="22"/>
        </w:rPr>
      </w:pPr>
    </w:p>
    <w:p w:rsidR="002965F5" w:rsidRPr="003E6141" w:rsidRDefault="002965F5" w:rsidP="003E6141">
      <w:pPr>
        <w:pStyle w:val="Default"/>
        <w:numPr>
          <w:ilvl w:val="0"/>
          <w:numId w:val="5"/>
        </w:numPr>
        <w:ind w:left="993"/>
        <w:rPr>
          <w:sz w:val="22"/>
          <w:szCs w:val="22"/>
        </w:rPr>
      </w:pPr>
      <w:r w:rsidRPr="003E6141">
        <w:rPr>
          <w:sz w:val="22"/>
          <w:szCs w:val="22"/>
        </w:rPr>
        <w:t xml:space="preserve">BSc (Hons) Nursing (Child) - September 2017 validation </w:t>
      </w:r>
    </w:p>
    <w:p w:rsidR="002965F5" w:rsidRPr="003E6141" w:rsidRDefault="002965F5" w:rsidP="002965F5">
      <w:pPr>
        <w:pStyle w:val="Default"/>
        <w:rPr>
          <w:sz w:val="22"/>
          <w:szCs w:val="22"/>
        </w:rPr>
      </w:pPr>
    </w:p>
    <w:p w:rsidR="002965F5" w:rsidRDefault="002965F5" w:rsidP="003E6141">
      <w:pPr>
        <w:overflowPunct w:val="0"/>
        <w:autoSpaceDE w:val="0"/>
        <w:autoSpaceDN w:val="0"/>
        <w:adjustRightInd w:val="0"/>
        <w:spacing w:after="0" w:line="240" w:lineRule="auto"/>
        <w:jc w:val="both"/>
        <w:textAlignment w:val="baseline"/>
        <w:rPr>
          <w:rFonts w:ascii="Humnst777 BT" w:hAnsi="Humnst777 BT"/>
          <w:b/>
          <w:bCs/>
        </w:rPr>
      </w:pPr>
      <w:r w:rsidRPr="003E6141">
        <w:rPr>
          <w:rFonts w:ascii="Humnst777 BT" w:eastAsia="Humnst777 BT" w:hAnsi="Humnst777 BT" w:cs="Times New Roman"/>
          <w:b/>
          <w:color w:val="000080"/>
          <w:lang w:eastAsia="en-GB"/>
        </w:rPr>
        <w:t>ADMISSION</w:t>
      </w:r>
      <w:r w:rsidRPr="003E6141">
        <w:rPr>
          <w:rFonts w:ascii="Humnst777 BT" w:hAnsi="Humnst777 BT"/>
          <w:b/>
          <w:bCs/>
        </w:rPr>
        <w:t xml:space="preserve"> </w:t>
      </w:r>
    </w:p>
    <w:p w:rsidR="0050578E" w:rsidRPr="003E6141" w:rsidRDefault="0050578E" w:rsidP="003E6141">
      <w:pPr>
        <w:overflowPunct w:val="0"/>
        <w:autoSpaceDE w:val="0"/>
        <w:autoSpaceDN w:val="0"/>
        <w:adjustRightInd w:val="0"/>
        <w:spacing w:after="0" w:line="240" w:lineRule="auto"/>
        <w:jc w:val="both"/>
        <w:textAlignment w:val="baseline"/>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 requirements for admissions are those set out in the Regulation and Credit Framework for the Conferment of Awards; the additional requirements are set out below. </w:t>
      </w:r>
    </w:p>
    <w:p w:rsidR="002965F5" w:rsidRPr="003E6141" w:rsidRDefault="002965F5" w:rsidP="002965F5">
      <w:pPr>
        <w:pStyle w:val="Default"/>
        <w:rPr>
          <w:sz w:val="22"/>
          <w:szCs w:val="22"/>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All entrants are required to attend a selection day/event, and complete any assessments prescribed as part of the selection process. </w:t>
      </w:r>
    </w:p>
    <w:p w:rsidR="002965F5" w:rsidRPr="003E6141" w:rsidRDefault="002965F5" w:rsidP="002965F5">
      <w:pPr>
        <w:pStyle w:val="Default"/>
        <w:rPr>
          <w:sz w:val="22"/>
          <w:szCs w:val="22"/>
        </w:rPr>
      </w:pPr>
    </w:p>
    <w:p w:rsidR="002965F5"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GENERAL ENTRY REQUIREMENTS </w:t>
      </w:r>
    </w:p>
    <w:p w:rsidR="0050578E" w:rsidRPr="003E6141" w:rsidRDefault="0050578E"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All entrants are to satisfy the University in relation to health clearance (including occupational health requirements) following the prescribed procedures at the time of application.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 </w:t>
      </w:r>
    </w:p>
    <w:p w:rsidR="002965F5" w:rsidRPr="003E6141" w:rsidRDefault="002965F5" w:rsidP="002965F5">
      <w:pPr>
        <w:pStyle w:val="Default"/>
        <w:rPr>
          <w:sz w:val="22"/>
          <w:szCs w:val="22"/>
        </w:rPr>
      </w:pPr>
    </w:p>
    <w:p w:rsidR="002965F5"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ADDITIONAL ENTRY REQUIREMENTS </w:t>
      </w:r>
    </w:p>
    <w:p w:rsidR="0050578E" w:rsidRPr="003E6141" w:rsidRDefault="0050578E"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Entry requirements are in line with standard University entry requirements and are subject to review. This is further guided by the requirements stipulated by the NMC that you will have gained a standard of learning at A-level or equivalent qualifications and five GCSE’s which includes Maths and English Language or equivalent qualifications. </w:t>
      </w:r>
    </w:p>
    <w:p w:rsidR="002965F5" w:rsidRPr="003E6141" w:rsidRDefault="002965F5" w:rsidP="002965F5">
      <w:pPr>
        <w:pStyle w:val="Default"/>
        <w:rPr>
          <w:rFonts w:cstheme="minorBidi"/>
          <w:color w:val="auto"/>
        </w:rPr>
      </w:pPr>
    </w:p>
    <w:p w:rsidR="002965F5" w:rsidRPr="0050578E" w:rsidRDefault="002965F5" w:rsidP="0050578E">
      <w:pPr>
        <w:pStyle w:val="ListParagraph"/>
        <w:numPr>
          <w:ilvl w:val="0"/>
          <w:numId w:val="6"/>
        </w:numPr>
        <w:tabs>
          <w:tab w:val="left" w:pos="567"/>
        </w:tabs>
        <w:suppressAutoHyphens/>
        <w:spacing w:after="0" w:line="240" w:lineRule="auto"/>
        <w:ind w:left="567" w:hanging="567"/>
        <w:jc w:val="both"/>
        <w:rPr>
          <w:rFonts w:ascii="Humnst777 BT" w:hAnsi="Humnst777 BT"/>
        </w:rPr>
      </w:pPr>
      <w:r w:rsidRPr="0050578E">
        <w:rPr>
          <w:rFonts w:ascii="Humnst777 BT" w:hAnsi="Humnst777 BT"/>
        </w:rPr>
        <w:t xml:space="preserve">The Nursing and Midwifery Council (NMC) specify requirements to ensure, in the interests of public protection, that entrants to pre-registration programmes have a foundation of literacy and numeracy skills.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Where the International English Language Testing System (IELTS) is offered as evidence the University will apply the NMC requirements for overseas applicants to the register. In these cases, the NMC will accept IELTS examination results (academic or general) where the scores are at least 7.0 in the listening and reading sections and at least 7.0 in the writing and speaking sections, and where the overall average score is at least 7.0.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PROGRAMME AWARD </w:t>
      </w: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lastRenderedPageBreak/>
        <w:t xml:space="preserve">The award of BSc (Hons) Nursing (Child) is made upon successful completion of 360 credits over a period of 3 years full-time. This is the only award that infers eligibility to apply for registration with the Nursing &amp; Midwifery Council (NMC). </w:t>
      </w:r>
    </w:p>
    <w:p w:rsidR="002965F5" w:rsidRPr="003E6141" w:rsidRDefault="002965F5" w:rsidP="002965F5">
      <w:pPr>
        <w:pStyle w:val="Default"/>
        <w:rPr>
          <w:color w:val="auto"/>
          <w:sz w:val="22"/>
          <w:szCs w:val="22"/>
        </w:rPr>
      </w:pPr>
    </w:p>
    <w:p w:rsidR="002965F5"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CLASSIFICATION </w:t>
      </w:r>
    </w:p>
    <w:p w:rsidR="0050578E" w:rsidRPr="003E6141" w:rsidRDefault="0050578E"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In calculating the honours degree class the marks for each theory module are weighted according to their credit rating and the level of the module, with Level 6 marks weighted to Level 5 marks in the ratio 60:40.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For the classification of a BSc (Hons) Nursing (Child) a weighted average of the marks of the 4 theory modules at Level 5 (year 2) and the marks of the 4 theory modules at Level 6 (years 3) will be used and rounded to the nearest integer, as follows: </w:t>
      </w:r>
    </w:p>
    <w:p w:rsidR="002965F5" w:rsidRPr="003E6141" w:rsidRDefault="002965F5" w:rsidP="002965F5">
      <w:pPr>
        <w:pStyle w:val="Default"/>
        <w:rPr>
          <w:color w:val="auto"/>
          <w:sz w:val="22"/>
          <w:szCs w:val="22"/>
        </w:rPr>
      </w:pPr>
    </w:p>
    <w:p w:rsidR="002965F5" w:rsidRPr="003E6141" w:rsidRDefault="002965F5" w:rsidP="003E6141">
      <w:pPr>
        <w:pStyle w:val="Default"/>
        <w:ind w:left="567"/>
        <w:rPr>
          <w:color w:val="auto"/>
          <w:sz w:val="22"/>
          <w:szCs w:val="22"/>
        </w:rPr>
      </w:pPr>
      <w:r w:rsidRPr="003E6141">
        <w:rPr>
          <w:color w:val="auto"/>
          <w:sz w:val="22"/>
          <w:szCs w:val="22"/>
        </w:rPr>
        <w:t xml:space="preserve">a) </w:t>
      </w:r>
      <w:proofErr w:type="gramStart"/>
      <w:r w:rsidRPr="003E6141">
        <w:rPr>
          <w:color w:val="auto"/>
          <w:sz w:val="22"/>
          <w:szCs w:val="22"/>
        </w:rPr>
        <w:t>where</w:t>
      </w:r>
      <w:proofErr w:type="gramEnd"/>
      <w:r w:rsidRPr="003E6141">
        <w:rPr>
          <w:color w:val="auto"/>
          <w:sz w:val="22"/>
          <w:szCs w:val="22"/>
        </w:rPr>
        <w:t xml:space="preserve"> the final mark is 70% and above, the award of First Class Honours will be made; </w:t>
      </w:r>
    </w:p>
    <w:p w:rsidR="002965F5" w:rsidRPr="003E6141" w:rsidRDefault="002965F5" w:rsidP="003E6141">
      <w:pPr>
        <w:pStyle w:val="Default"/>
        <w:ind w:left="567"/>
        <w:rPr>
          <w:color w:val="auto"/>
          <w:sz w:val="22"/>
          <w:szCs w:val="22"/>
        </w:rPr>
      </w:pPr>
    </w:p>
    <w:p w:rsidR="002965F5" w:rsidRPr="003E6141" w:rsidRDefault="002965F5" w:rsidP="003E6141">
      <w:pPr>
        <w:pStyle w:val="Default"/>
        <w:ind w:left="567"/>
        <w:rPr>
          <w:color w:val="auto"/>
          <w:sz w:val="22"/>
          <w:szCs w:val="22"/>
        </w:rPr>
      </w:pPr>
      <w:r w:rsidRPr="003E6141">
        <w:rPr>
          <w:color w:val="auto"/>
          <w:sz w:val="22"/>
          <w:szCs w:val="22"/>
        </w:rPr>
        <w:t xml:space="preserve">b) </w:t>
      </w:r>
      <w:proofErr w:type="gramStart"/>
      <w:r w:rsidRPr="003E6141">
        <w:rPr>
          <w:color w:val="auto"/>
          <w:sz w:val="22"/>
          <w:szCs w:val="22"/>
        </w:rPr>
        <w:t>where</w:t>
      </w:r>
      <w:proofErr w:type="gramEnd"/>
      <w:r w:rsidRPr="003E6141">
        <w:rPr>
          <w:color w:val="auto"/>
          <w:sz w:val="22"/>
          <w:szCs w:val="22"/>
        </w:rPr>
        <w:t xml:space="preserve"> the final mark is 60% - 69%, the award of Upper Second Class Honours will be made; </w:t>
      </w:r>
    </w:p>
    <w:p w:rsidR="002965F5" w:rsidRPr="003E6141" w:rsidRDefault="002965F5" w:rsidP="003E6141">
      <w:pPr>
        <w:pStyle w:val="Default"/>
        <w:ind w:left="567"/>
        <w:rPr>
          <w:color w:val="auto"/>
          <w:sz w:val="22"/>
          <w:szCs w:val="22"/>
        </w:rPr>
      </w:pPr>
    </w:p>
    <w:p w:rsidR="002965F5" w:rsidRPr="003E6141" w:rsidRDefault="002965F5" w:rsidP="003E6141">
      <w:pPr>
        <w:pStyle w:val="Default"/>
        <w:ind w:left="567"/>
        <w:rPr>
          <w:color w:val="auto"/>
          <w:sz w:val="22"/>
          <w:szCs w:val="22"/>
        </w:rPr>
      </w:pPr>
      <w:r w:rsidRPr="003E6141">
        <w:rPr>
          <w:color w:val="auto"/>
          <w:sz w:val="22"/>
          <w:szCs w:val="22"/>
        </w:rPr>
        <w:t xml:space="preserve">c) </w:t>
      </w:r>
      <w:proofErr w:type="gramStart"/>
      <w:r w:rsidRPr="003E6141">
        <w:rPr>
          <w:color w:val="auto"/>
          <w:sz w:val="22"/>
          <w:szCs w:val="22"/>
        </w:rPr>
        <w:t>where</w:t>
      </w:r>
      <w:proofErr w:type="gramEnd"/>
      <w:r w:rsidRPr="003E6141">
        <w:rPr>
          <w:color w:val="auto"/>
          <w:sz w:val="22"/>
          <w:szCs w:val="22"/>
        </w:rPr>
        <w:t xml:space="preserve"> the final mark is 50% - 59% the award of Lower Second Class Honours will be made; </w:t>
      </w:r>
    </w:p>
    <w:p w:rsidR="002965F5" w:rsidRPr="003E6141" w:rsidRDefault="002965F5" w:rsidP="003E6141">
      <w:pPr>
        <w:pStyle w:val="Default"/>
        <w:ind w:left="567"/>
        <w:rPr>
          <w:color w:val="auto"/>
          <w:sz w:val="22"/>
          <w:szCs w:val="22"/>
        </w:rPr>
      </w:pPr>
    </w:p>
    <w:p w:rsidR="002965F5" w:rsidRPr="003E6141" w:rsidRDefault="002965F5" w:rsidP="003E6141">
      <w:pPr>
        <w:pStyle w:val="Default"/>
        <w:ind w:left="567"/>
        <w:rPr>
          <w:color w:val="auto"/>
          <w:sz w:val="22"/>
          <w:szCs w:val="22"/>
        </w:rPr>
      </w:pPr>
      <w:r w:rsidRPr="003E6141">
        <w:rPr>
          <w:color w:val="auto"/>
          <w:sz w:val="22"/>
          <w:szCs w:val="22"/>
        </w:rPr>
        <w:t xml:space="preserve">d) </w:t>
      </w:r>
      <w:proofErr w:type="gramStart"/>
      <w:r w:rsidRPr="003E6141">
        <w:rPr>
          <w:color w:val="auto"/>
          <w:sz w:val="22"/>
          <w:szCs w:val="22"/>
        </w:rPr>
        <w:t>where</w:t>
      </w:r>
      <w:proofErr w:type="gramEnd"/>
      <w:r w:rsidRPr="003E6141">
        <w:rPr>
          <w:color w:val="auto"/>
          <w:sz w:val="22"/>
          <w:szCs w:val="22"/>
        </w:rPr>
        <w:t xml:space="preserve"> the final mark is 40% - 49% the award of Third Class Honours will be made. </w:t>
      </w:r>
    </w:p>
    <w:p w:rsidR="002965F5" w:rsidRPr="003E6141" w:rsidRDefault="002965F5" w:rsidP="003E6141">
      <w:pPr>
        <w:pStyle w:val="Default"/>
        <w:ind w:left="567"/>
        <w:rPr>
          <w:color w:val="auto"/>
          <w:sz w:val="20"/>
          <w:szCs w:val="20"/>
        </w:rPr>
      </w:pPr>
      <w:r w:rsidRPr="003E6141">
        <w:rPr>
          <w:color w:val="auto"/>
          <w:sz w:val="20"/>
          <w:szCs w:val="20"/>
        </w:rPr>
        <w:t xml:space="preserve">116 </w:t>
      </w:r>
    </w:p>
    <w:p w:rsidR="002965F5" w:rsidRPr="003E6141" w:rsidRDefault="002965F5" w:rsidP="002965F5">
      <w:pPr>
        <w:pStyle w:val="Default"/>
        <w:rPr>
          <w:rFonts w:cstheme="minorBidi"/>
          <w:color w:val="auto"/>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DEFAULT EXIT AWARDS NOT LEADING TO PROFESSIONAL REGISTRATION </w:t>
      </w:r>
    </w:p>
    <w:p w:rsidR="0018783B" w:rsidRPr="003E6141" w:rsidRDefault="0018783B" w:rsidP="002965F5">
      <w:pPr>
        <w:pStyle w:val="Default"/>
        <w:rPr>
          <w:color w:val="auto"/>
          <w:sz w:val="22"/>
          <w:szCs w:val="22"/>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 following exit awards are available to students not recommended for an award leading to professional registration. </w:t>
      </w:r>
    </w:p>
    <w:p w:rsidR="002965F5" w:rsidRPr="003E6141" w:rsidRDefault="002965F5" w:rsidP="002965F5">
      <w:pPr>
        <w:pStyle w:val="Default"/>
        <w:rPr>
          <w:color w:val="auto"/>
          <w:sz w:val="22"/>
          <w:szCs w:val="22"/>
        </w:rPr>
      </w:pPr>
    </w:p>
    <w:p w:rsidR="002965F5" w:rsidRPr="003E6141" w:rsidRDefault="002965F5" w:rsidP="003E6141">
      <w:pPr>
        <w:pStyle w:val="Default"/>
        <w:numPr>
          <w:ilvl w:val="0"/>
          <w:numId w:val="4"/>
        </w:numPr>
        <w:ind w:left="993"/>
        <w:rPr>
          <w:color w:val="auto"/>
          <w:sz w:val="22"/>
          <w:szCs w:val="22"/>
        </w:rPr>
      </w:pPr>
      <w:r w:rsidRPr="003E6141">
        <w:rPr>
          <w:color w:val="auto"/>
          <w:sz w:val="22"/>
          <w:szCs w:val="22"/>
        </w:rPr>
        <w:t xml:space="preserve">To qualify for a Bachelor of Science degree in Children and Young People’s Health Care Studies students must: </w:t>
      </w:r>
    </w:p>
    <w:p w:rsidR="002965F5" w:rsidRPr="003E6141" w:rsidRDefault="002965F5" w:rsidP="002965F5">
      <w:pPr>
        <w:pStyle w:val="Default"/>
        <w:ind w:left="720"/>
        <w:rPr>
          <w:color w:val="auto"/>
          <w:sz w:val="22"/>
          <w:szCs w:val="22"/>
        </w:rPr>
      </w:pP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at least 60 credits at level 6 </w:t>
      </w: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level 5 </w:t>
      </w: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level 4 </w:t>
      </w:r>
    </w:p>
    <w:p w:rsidR="002965F5" w:rsidRPr="003E6141" w:rsidRDefault="002965F5" w:rsidP="002965F5">
      <w:pPr>
        <w:pStyle w:val="Default"/>
        <w:rPr>
          <w:rFonts w:cs="Wingdings"/>
          <w:color w:val="auto"/>
          <w:sz w:val="22"/>
          <w:szCs w:val="22"/>
        </w:rPr>
      </w:pPr>
    </w:p>
    <w:p w:rsidR="002965F5" w:rsidRPr="003E6141" w:rsidRDefault="002965F5" w:rsidP="003E6141">
      <w:pPr>
        <w:pStyle w:val="Default"/>
        <w:numPr>
          <w:ilvl w:val="0"/>
          <w:numId w:val="4"/>
        </w:numPr>
        <w:ind w:left="993"/>
        <w:rPr>
          <w:color w:val="auto"/>
          <w:sz w:val="22"/>
          <w:szCs w:val="22"/>
        </w:rPr>
      </w:pPr>
      <w:r w:rsidRPr="003E6141">
        <w:rPr>
          <w:color w:val="auto"/>
          <w:sz w:val="22"/>
          <w:szCs w:val="22"/>
        </w:rPr>
        <w:t xml:space="preserve">b) To qualify for a Diploma of Higher Education in Children and Young People’s Health Care Studies students must: </w:t>
      </w:r>
    </w:p>
    <w:p w:rsidR="002965F5" w:rsidRPr="003E6141" w:rsidRDefault="002965F5" w:rsidP="002965F5">
      <w:pPr>
        <w:pStyle w:val="Default"/>
        <w:rPr>
          <w:color w:val="auto"/>
          <w:sz w:val="22"/>
          <w:szCs w:val="22"/>
        </w:rPr>
      </w:pP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level 5 </w:t>
      </w: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level 4 </w:t>
      </w:r>
    </w:p>
    <w:p w:rsidR="002965F5" w:rsidRPr="003E6141" w:rsidRDefault="002965F5" w:rsidP="002965F5">
      <w:pPr>
        <w:pStyle w:val="Default"/>
        <w:rPr>
          <w:rFonts w:cs="Wingdings"/>
          <w:color w:val="auto"/>
          <w:sz w:val="22"/>
          <w:szCs w:val="22"/>
        </w:rPr>
      </w:pPr>
    </w:p>
    <w:p w:rsidR="002965F5" w:rsidRDefault="002965F5" w:rsidP="003E6141">
      <w:pPr>
        <w:pStyle w:val="Default"/>
        <w:numPr>
          <w:ilvl w:val="0"/>
          <w:numId w:val="4"/>
        </w:numPr>
        <w:ind w:left="993"/>
        <w:rPr>
          <w:color w:val="auto"/>
          <w:sz w:val="22"/>
          <w:szCs w:val="22"/>
        </w:rPr>
      </w:pPr>
      <w:r w:rsidRPr="003E6141">
        <w:rPr>
          <w:color w:val="auto"/>
          <w:sz w:val="22"/>
          <w:szCs w:val="22"/>
        </w:rPr>
        <w:t xml:space="preserve">c) To qualify for a Certificate of Higher Education in Children and Young People’s Health Care Studies students must: </w:t>
      </w:r>
    </w:p>
    <w:p w:rsidR="0050578E" w:rsidRPr="003E6141" w:rsidRDefault="0050578E" w:rsidP="0050578E">
      <w:pPr>
        <w:pStyle w:val="Default"/>
        <w:ind w:left="993"/>
        <w:rPr>
          <w:color w:val="auto"/>
          <w:sz w:val="22"/>
          <w:szCs w:val="22"/>
        </w:rPr>
      </w:pPr>
    </w:p>
    <w:p w:rsidR="002965F5" w:rsidRPr="003E6141" w:rsidRDefault="002965F5" w:rsidP="0050578E">
      <w:pPr>
        <w:pStyle w:val="Default"/>
        <w:numPr>
          <w:ilvl w:val="0"/>
          <w:numId w:val="7"/>
        </w:numPr>
        <w:ind w:left="1134" w:hanging="357"/>
        <w:rPr>
          <w:rFonts w:cs="Wingdings"/>
          <w:color w:val="auto"/>
          <w:sz w:val="22"/>
          <w:szCs w:val="22"/>
        </w:rPr>
      </w:pPr>
      <w:r w:rsidRPr="003E6141">
        <w:rPr>
          <w:rFonts w:cs="Wingdings"/>
          <w:color w:val="auto"/>
          <w:sz w:val="22"/>
          <w:szCs w:val="22"/>
        </w:rPr>
        <w:t xml:space="preserve">Pass level 4 </w:t>
      </w:r>
    </w:p>
    <w:p w:rsidR="002965F5" w:rsidRPr="003E6141" w:rsidRDefault="002965F5" w:rsidP="002965F5">
      <w:pPr>
        <w:pStyle w:val="Default"/>
        <w:rPr>
          <w:rFonts w:cs="Wingdings"/>
          <w:color w:val="auto"/>
          <w:sz w:val="22"/>
          <w:szCs w:val="22"/>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Where an award cannot be recommended, the Board may recommend the award of institutional credits.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Aegrotat awards may be offered at the discretion of the Board of Examiners as outlined in the regulations; however, such awards would not provide eligibility to apply for admission to the relevant professional register.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CREDIT EXEMPTION ON ENTRY </w:t>
      </w:r>
    </w:p>
    <w:p w:rsidR="0018783B" w:rsidRPr="003E6141" w:rsidRDefault="0018783B" w:rsidP="002965F5">
      <w:pPr>
        <w:pStyle w:val="Default"/>
        <w:rPr>
          <w:color w:val="auto"/>
          <w:sz w:val="22"/>
          <w:szCs w:val="22"/>
        </w:rPr>
      </w:pPr>
    </w:p>
    <w:p w:rsidR="002965F5"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Entrants may gain exemption from modules in line with</w:t>
      </w:r>
      <w:r w:rsidR="0050578E">
        <w:rPr>
          <w:rFonts w:ascii="Humnst777 BT" w:hAnsi="Humnst777 BT"/>
        </w:rPr>
        <w:t xml:space="preserve"> the University’s policy in the </w:t>
      </w:r>
      <w:r w:rsidRPr="003E6141">
        <w:rPr>
          <w:rFonts w:ascii="Humnst777 BT" w:hAnsi="Humnst777 BT"/>
        </w:rPr>
        <w:t xml:space="preserve">Accreditation of Prior Learning (APL). </w:t>
      </w:r>
    </w:p>
    <w:p w:rsidR="0050578E" w:rsidRPr="003E6141" w:rsidRDefault="0050578E"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For applicants other than those who have a current registration at first or second level with the Nursing and Midwifery Council (NMC), APL of up to a maximum of 50% of the programme will be considered, provided all the requirements are met in full. This includes NMC Registered Midwives wishing to undertake the BSc (Hons) Nursing (Child) programme.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For applicants who have a current registration at first or second level with the NMC, unlimited APL will be considered providing the all requirements are met in full. </w:t>
      </w:r>
    </w:p>
    <w:p w:rsidR="002965F5" w:rsidRPr="003E6141" w:rsidRDefault="002965F5" w:rsidP="0050578E">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For nursing students requesting transfer from another institution, a transcript, reference, completed assessment of practice documentation and placement hours will be required. All applicants’ past theory and practice learning will be mapped against the programme’s modules.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PERIODS OF REGISTRATION </w:t>
      </w:r>
    </w:p>
    <w:p w:rsidR="0018783B" w:rsidRPr="003E6141" w:rsidRDefault="0018783B" w:rsidP="002965F5">
      <w:pPr>
        <w:pStyle w:val="Default"/>
        <w:rPr>
          <w:color w:val="auto"/>
          <w:sz w:val="22"/>
          <w:szCs w:val="22"/>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 programme is full-time comprising 2,300 hours theory and 2,300 hours practice experience. </w:t>
      </w:r>
    </w:p>
    <w:p w:rsidR="002965F5" w:rsidRPr="003E6141" w:rsidRDefault="002965F5"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 minimum and maximum period of registration for students recommended for a professional award, including periods for interruption and reassessment, together with credits transferred from another higher education institution or programme at the University, are as follows: </w:t>
      </w:r>
    </w:p>
    <w:p w:rsidR="002965F5" w:rsidRPr="003E6141" w:rsidRDefault="002965F5" w:rsidP="002965F5">
      <w:pPr>
        <w:pStyle w:val="Default"/>
        <w:rPr>
          <w:color w:val="auto"/>
          <w:sz w:val="22"/>
          <w:szCs w:val="22"/>
        </w:rPr>
      </w:pPr>
    </w:p>
    <w:p w:rsidR="002965F5" w:rsidRPr="003E6141" w:rsidRDefault="002965F5" w:rsidP="003E6141">
      <w:pPr>
        <w:pStyle w:val="Default"/>
        <w:numPr>
          <w:ilvl w:val="0"/>
          <w:numId w:val="11"/>
        </w:numPr>
        <w:ind w:left="993"/>
        <w:rPr>
          <w:color w:val="auto"/>
          <w:sz w:val="22"/>
          <w:szCs w:val="22"/>
        </w:rPr>
      </w:pPr>
      <w:r w:rsidRPr="003E6141">
        <w:rPr>
          <w:color w:val="auto"/>
          <w:sz w:val="22"/>
          <w:szCs w:val="22"/>
        </w:rPr>
        <w:t xml:space="preserve">3 years minimum and 6 years’ maximum for full time students;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MODULES </w:t>
      </w:r>
    </w:p>
    <w:p w:rsidR="0018783B" w:rsidRPr="003E6141" w:rsidRDefault="0018783B" w:rsidP="002965F5">
      <w:pPr>
        <w:pStyle w:val="Default"/>
        <w:rPr>
          <w:color w:val="auto"/>
          <w:sz w:val="22"/>
          <w:szCs w:val="22"/>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Students on this programme will not be able to choose starred modules.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ASSESSMENT </w:t>
      </w:r>
    </w:p>
    <w:p w:rsidR="0018783B" w:rsidRPr="003E6141" w:rsidRDefault="0018783B" w:rsidP="002965F5">
      <w:pPr>
        <w:pStyle w:val="Default"/>
        <w:rPr>
          <w:color w:val="auto"/>
          <w:sz w:val="22"/>
          <w:szCs w:val="22"/>
        </w:rPr>
      </w:pPr>
    </w:p>
    <w:p w:rsidR="002965F5" w:rsidRPr="000C2292" w:rsidRDefault="002965F5" w:rsidP="002965F5">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All assessments must be passed. This includes theoretical assessments and those involved</w:t>
      </w:r>
      <w:r w:rsidR="000C2292">
        <w:rPr>
          <w:rFonts w:ascii="Humnst777 BT" w:hAnsi="Humnst777 BT"/>
        </w:rPr>
        <w:t xml:space="preserve"> in the assessment of practice.</w:t>
      </w:r>
    </w:p>
    <w:p w:rsidR="002965F5" w:rsidRPr="003E6141" w:rsidRDefault="002965F5" w:rsidP="002965F5">
      <w:pPr>
        <w:pStyle w:val="Default"/>
        <w:rPr>
          <w:rFonts w:cstheme="minorBidi"/>
          <w:color w:val="auto"/>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Assessment of Practice will be assessed on a pass/fail basis. </w:t>
      </w:r>
    </w:p>
    <w:p w:rsidR="002965F5" w:rsidRPr="003E6141" w:rsidRDefault="002965F5" w:rsidP="002965F5">
      <w:pPr>
        <w:pStyle w:val="Default"/>
        <w:rPr>
          <w:color w:val="auto"/>
          <w:sz w:val="22"/>
          <w:szCs w:val="22"/>
        </w:rPr>
      </w:pPr>
    </w:p>
    <w:p w:rsidR="0018783B" w:rsidRDefault="002965F5" w:rsidP="000C2292">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COMPENSATION </w:t>
      </w:r>
    </w:p>
    <w:p w:rsidR="000C2292" w:rsidRPr="000C2292" w:rsidRDefault="000C2292" w:rsidP="000C2292">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lastRenderedPageBreak/>
        <w:t xml:space="preserve">The programme is excluded from University regulations regarding compensation. </w:t>
      </w:r>
    </w:p>
    <w:p w:rsidR="002965F5" w:rsidRPr="003E6141" w:rsidRDefault="002965F5"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There can be no compensation for failure in the assessment of practice and there can be no compensation between theory and practice. Students must pass successfully all elements of practice learning. </w:t>
      </w:r>
    </w:p>
    <w:p w:rsidR="002965F5" w:rsidRPr="003E6141" w:rsidRDefault="002965F5" w:rsidP="002965F5">
      <w:pPr>
        <w:pStyle w:val="Default"/>
        <w:rPr>
          <w:color w:val="auto"/>
          <w:sz w:val="22"/>
          <w:szCs w:val="22"/>
        </w:rPr>
      </w:pPr>
    </w:p>
    <w:p w:rsidR="002965F5"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PROGRESSION </w:t>
      </w:r>
    </w:p>
    <w:p w:rsidR="0018783B" w:rsidRPr="003E6141" w:rsidRDefault="0018783B"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 student may only progress from one year or one part of the programme to the next on successful completion of the required practice assessment. </w:t>
      </w:r>
    </w:p>
    <w:p w:rsidR="002965F5" w:rsidRPr="003E6141" w:rsidRDefault="002965F5"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The programme is excluded from University regulations regarding trail and progress. </w:t>
      </w:r>
    </w:p>
    <w:p w:rsidR="002965F5" w:rsidRPr="003E6141" w:rsidRDefault="002965F5"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Students will normally be expected to complete all requirements for each year prior to progression to the next although, in exceptional circumstances, students may commence the next year without completion of all requirements provided anything which remains outstanding is completed within 12 weeks of commencement of that year. </w:t>
      </w:r>
    </w:p>
    <w:p w:rsidR="002965F5" w:rsidRPr="003E6141" w:rsidRDefault="002965F5" w:rsidP="002965F5">
      <w:pPr>
        <w:pStyle w:val="Default"/>
        <w:rPr>
          <w:color w:val="auto"/>
          <w:sz w:val="22"/>
          <w:szCs w:val="22"/>
        </w:rPr>
      </w:pPr>
    </w:p>
    <w:p w:rsidR="0018783B" w:rsidRPr="003E6141"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PROFESSIONAL PRACTICE AND CONDUCT</w:t>
      </w:r>
    </w:p>
    <w:p w:rsidR="002965F5" w:rsidRPr="003E6141" w:rsidRDefault="002965F5" w:rsidP="002965F5">
      <w:pPr>
        <w:pStyle w:val="Default"/>
        <w:rPr>
          <w:color w:val="auto"/>
          <w:sz w:val="22"/>
          <w:szCs w:val="22"/>
        </w:rPr>
      </w:pPr>
      <w:r w:rsidRPr="003E6141">
        <w:rPr>
          <w:b/>
          <w:bCs/>
          <w:color w:val="auto"/>
          <w:sz w:val="22"/>
          <w:szCs w:val="22"/>
        </w:rPr>
        <w:t xml:space="preserve"> </w:t>
      </w: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Students are required to make a formal declaration of good health and good character at the beginning of each year of the programme. </w:t>
      </w:r>
    </w:p>
    <w:p w:rsidR="002965F5" w:rsidRPr="003E6141" w:rsidRDefault="002965F5" w:rsidP="000C2292">
      <w:pPr>
        <w:pStyle w:val="ListParagraph"/>
        <w:tabs>
          <w:tab w:val="left" w:pos="567"/>
        </w:tabs>
        <w:suppressAutoHyphens/>
        <w:spacing w:after="0" w:line="240" w:lineRule="auto"/>
        <w:ind w:left="567"/>
        <w:jc w:val="both"/>
        <w:rPr>
          <w:rFonts w:ascii="Humnst777 BT" w:hAnsi="Humnst777 BT"/>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r w:rsidRPr="003E6141">
        <w:rPr>
          <w:rFonts w:ascii="Humnst777 BT" w:hAnsi="Humnst777 BT"/>
        </w:rPr>
        <w:t xml:space="preserve">As a condition of a professional award, students must successfully meet the requirements concerning attendance and professional practice, together with the requirements of the regulatory bodies relating to student conduct, good health and good character. Potential breaches of professional conduct will be subject to the fitness to practise procedures for the Faculty. </w:t>
      </w:r>
    </w:p>
    <w:p w:rsidR="002965F5" w:rsidRPr="003E6141" w:rsidRDefault="002965F5" w:rsidP="002965F5">
      <w:pPr>
        <w:pStyle w:val="Default"/>
        <w:rPr>
          <w:rFonts w:cstheme="minorBidi"/>
          <w:color w:val="auto"/>
        </w:rPr>
      </w:pPr>
    </w:p>
    <w:p w:rsidR="002965F5" w:rsidRDefault="002965F5"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3E6141">
        <w:rPr>
          <w:rFonts w:ascii="Humnst777 BT" w:eastAsia="Humnst777 BT" w:hAnsi="Humnst777 BT" w:cs="Times New Roman"/>
          <w:b/>
          <w:color w:val="000080"/>
          <w:lang w:eastAsia="en-GB"/>
        </w:rPr>
        <w:t xml:space="preserve">EXTERNAL EXAMINERS </w:t>
      </w:r>
    </w:p>
    <w:p w:rsidR="000C2292" w:rsidRPr="003E6141" w:rsidRDefault="000C2292" w:rsidP="003E61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2965F5" w:rsidRPr="003E6141" w:rsidRDefault="002965F5" w:rsidP="003E6141">
      <w:pPr>
        <w:pStyle w:val="ListParagraph"/>
        <w:numPr>
          <w:ilvl w:val="0"/>
          <w:numId w:val="6"/>
        </w:numPr>
        <w:tabs>
          <w:tab w:val="left" w:pos="567"/>
        </w:tabs>
        <w:suppressAutoHyphens/>
        <w:spacing w:after="0" w:line="240" w:lineRule="auto"/>
        <w:ind w:left="567" w:hanging="567"/>
        <w:jc w:val="both"/>
        <w:rPr>
          <w:rFonts w:ascii="Humnst777 BT" w:hAnsi="Humnst777 BT"/>
        </w:rPr>
      </w:pPr>
      <w:bookmarkStart w:id="0" w:name="_GoBack"/>
      <w:bookmarkEnd w:id="0"/>
      <w:r w:rsidRPr="003E6141">
        <w:rPr>
          <w:rFonts w:ascii="Humnst777 BT" w:hAnsi="Humnst777 BT"/>
        </w:rPr>
        <w:t xml:space="preserve">At least one External Examiner appointed to the programme must be appropriately experienced and qualified in the relevant area of practice and, unless other arrangements are agreed with the appropriate regulatory body, be from the relevant part of the Register. </w:t>
      </w:r>
    </w:p>
    <w:p w:rsidR="002965F5" w:rsidRPr="003E6141" w:rsidRDefault="002965F5" w:rsidP="002965F5">
      <w:pPr>
        <w:pStyle w:val="Default"/>
        <w:rPr>
          <w:color w:val="auto"/>
          <w:sz w:val="22"/>
          <w:szCs w:val="22"/>
        </w:rPr>
      </w:pPr>
    </w:p>
    <w:p w:rsidR="004109A6" w:rsidRPr="003E6141" w:rsidRDefault="002965F5" w:rsidP="002965F5">
      <w:pPr>
        <w:rPr>
          <w:rFonts w:ascii="Humnst777 BT" w:hAnsi="Humnst777 BT"/>
        </w:rPr>
      </w:pPr>
      <w:r w:rsidRPr="003E6141">
        <w:rPr>
          <w:rFonts w:ascii="Humnst777 BT" w:hAnsi="Humnst777 BT"/>
        </w:rPr>
        <w:t xml:space="preserve">Approved by Academic Board, </w:t>
      </w:r>
      <w:r w:rsidR="003E6141">
        <w:rPr>
          <w:rFonts w:ascii="Humnst777 BT" w:hAnsi="Humnst777 BT"/>
        </w:rPr>
        <w:t>26 June 2017.</w:t>
      </w:r>
    </w:p>
    <w:sectPr w:rsidR="004109A6" w:rsidRPr="003E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199"/>
    <w:multiLevelType w:val="hybridMultilevel"/>
    <w:tmpl w:val="D48E0622"/>
    <w:lvl w:ilvl="0" w:tplc="FFFFFFFF">
      <w:start w:val="1"/>
      <w:numFmt w:val="bullet"/>
      <w:lvlText w:val=""/>
      <w:lvlJc w:val="left"/>
      <w:pPr>
        <w:ind w:left="720" w:hanging="360"/>
      </w:pPr>
      <w:rPr>
        <w:rFonts w:ascii="Wingdings" w:eastAsia="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32A20"/>
    <w:multiLevelType w:val="hybridMultilevel"/>
    <w:tmpl w:val="AB2A0F4E"/>
    <w:lvl w:ilvl="0" w:tplc="DDA6E4F8">
      <w:start w:val="1"/>
      <w:numFmt w:val="bullet"/>
      <w:lvlText w:val="-"/>
      <w:lvlJc w:val="left"/>
      <w:pPr>
        <w:ind w:left="720" w:hanging="360"/>
      </w:pPr>
      <w:rPr>
        <w:rFonts w:ascii="Humnst777 BT" w:eastAsiaTheme="minorHAnsi" w:hAnsi="Humnst777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97807"/>
    <w:multiLevelType w:val="hybridMultilevel"/>
    <w:tmpl w:val="EC842DFC"/>
    <w:lvl w:ilvl="0" w:tplc="385A2E62">
      <w:start w:val="1"/>
      <w:numFmt w:val="bullet"/>
      <w:lvlText w:val="-"/>
      <w:lvlJc w:val="left"/>
      <w:pPr>
        <w:ind w:left="720" w:hanging="360"/>
      </w:pPr>
      <w:rPr>
        <w:rFonts w:ascii="Calibri" w:eastAsiaTheme="minorHAnsi" w:hAnsi="Calibri"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2405C"/>
    <w:multiLevelType w:val="hybridMultilevel"/>
    <w:tmpl w:val="D7E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00E35"/>
    <w:multiLevelType w:val="hybridMultilevel"/>
    <w:tmpl w:val="D7489706"/>
    <w:lvl w:ilvl="0" w:tplc="FFFFFFFF">
      <w:start w:val="1"/>
      <w:numFmt w:val="bullet"/>
      <w:lvlText w:val=""/>
      <w:lvlJc w:val="left"/>
      <w:pPr>
        <w:ind w:left="720" w:hanging="360"/>
      </w:pPr>
      <w:rPr>
        <w:rFonts w:ascii="Wingdings" w:eastAsia="Wingdings" w:hAnsi="Wingdings" w:hint="default"/>
      </w:rPr>
    </w:lvl>
    <w:lvl w:ilvl="1" w:tplc="4DB6B490">
      <w:start w:val="1"/>
      <w:numFmt w:val="bullet"/>
      <w:lvlText w:val="-"/>
      <w:lvlJc w:val="left"/>
      <w:pPr>
        <w:ind w:left="1440" w:hanging="360"/>
      </w:pPr>
      <w:rPr>
        <w:rFonts w:ascii="Humnst777 BT" w:eastAsiaTheme="minorHAnsi" w:hAnsi="Humnst777 BT"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F033F"/>
    <w:multiLevelType w:val="hybridMultilevel"/>
    <w:tmpl w:val="948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736BD"/>
    <w:multiLevelType w:val="hybridMultilevel"/>
    <w:tmpl w:val="8868A53E"/>
    <w:lvl w:ilvl="0" w:tplc="CBBA34EC">
      <w:start w:val="1"/>
      <w:numFmt w:val="bullet"/>
      <w:lvlText w:val="-"/>
      <w:lvlJc w:val="left"/>
      <w:pPr>
        <w:ind w:left="720" w:hanging="360"/>
      </w:pPr>
      <w:rPr>
        <w:rFonts w:ascii="Humnst777 Lt BT" w:eastAsiaTheme="minorHAnsi" w:hAnsi="Humnst777 Lt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A2ED7"/>
    <w:multiLevelType w:val="hybridMultilevel"/>
    <w:tmpl w:val="6234F350"/>
    <w:lvl w:ilvl="0" w:tplc="FB7C7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67958"/>
    <w:multiLevelType w:val="hybridMultilevel"/>
    <w:tmpl w:val="EBCCB6D6"/>
    <w:lvl w:ilvl="0" w:tplc="FFFFFFFF">
      <w:start w:val="1"/>
      <w:numFmt w:val="bullet"/>
      <w:lvlText w:val=""/>
      <w:lvlJc w:val="left"/>
      <w:pPr>
        <w:ind w:left="720" w:hanging="360"/>
      </w:pPr>
      <w:rPr>
        <w:rFonts w:ascii="Wingdings" w:eastAsia="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8376A"/>
    <w:multiLevelType w:val="hybridMultilevel"/>
    <w:tmpl w:val="43E41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97554"/>
    <w:multiLevelType w:val="hybridMultilevel"/>
    <w:tmpl w:val="DD780806"/>
    <w:lvl w:ilvl="0" w:tplc="CEF64FB8">
      <w:start w:val="1"/>
      <w:numFmt w:val="bullet"/>
      <w:lvlText w:val="-"/>
      <w:lvlJc w:val="left"/>
      <w:pPr>
        <w:ind w:left="720" w:hanging="360"/>
      </w:pPr>
      <w:rPr>
        <w:rFonts w:ascii="Humnst777 BT" w:eastAsiaTheme="minorHAnsi" w:hAnsi="Humnst777 BT"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3"/>
  </w:num>
  <w:num w:numId="6">
    <w:abstractNumId w:val="7"/>
  </w:num>
  <w:num w:numId="7">
    <w:abstractNumId w:val="0"/>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F5"/>
    <w:rsid w:val="000C2292"/>
    <w:rsid w:val="0018783B"/>
    <w:rsid w:val="002965F5"/>
    <w:rsid w:val="003E6141"/>
    <w:rsid w:val="004109A6"/>
    <w:rsid w:val="0050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D112"/>
  <w15:chartTrackingRefBased/>
  <w15:docId w15:val="{07E7E224-C3B9-4F28-882A-C4E87E24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5F5"/>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3E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15</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4</cp:revision>
  <dcterms:created xsi:type="dcterms:W3CDTF">2017-08-17T10:02:00Z</dcterms:created>
  <dcterms:modified xsi:type="dcterms:W3CDTF">2017-08-29T11:54:00Z</dcterms:modified>
</cp:coreProperties>
</file>