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0" w:rsidRPr="004940D1" w:rsidRDefault="00C42DB0" w:rsidP="00C42DB0">
      <w:pPr>
        <w:jc w:val="center"/>
        <w:rPr>
          <w:b/>
          <w:color w:val="333399"/>
          <w:sz w:val="22"/>
          <w:szCs w:val="22"/>
        </w:rPr>
      </w:pPr>
      <w:r w:rsidRPr="004940D1">
        <w:rPr>
          <w:b/>
          <w:color w:val="333399"/>
          <w:sz w:val="22"/>
          <w:szCs w:val="22"/>
        </w:rPr>
        <w:t>SPECIAL REGULATIONS: BSc (HONS) MIDWIFERY (APPLIED)</w:t>
      </w:r>
    </w:p>
    <w:p w:rsidR="00C42DB0" w:rsidRPr="004940D1" w:rsidRDefault="00C42DB0" w:rsidP="00C42DB0">
      <w:pPr>
        <w:jc w:val="center"/>
        <w:rPr>
          <w:b/>
          <w:color w:val="000080"/>
          <w:sz w:val="22"/>
          <w:szCs w:val="22"/>
        </w:rPr>
      </w:pP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  <w:r w:rsidRPr="004940D1">
        <w:rPr>
          <w:b/>
          <w:color w:val="000080"/>
          <w:sz w:val="22"/>
          <w:szCs w:val="22"/>
        </w:rPr>
        <w:t>INTRODUCTION</w:t>
      </w: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The Special Regulations relate only to the following programme:</w:t>
      </w:r>
    </w:p>
    <w:p w:rsidR="00C42DB0" w:rsidRPr="004940D1" w:rsidRDefault="00C42DB0" w:rsidP="00C42DB0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42DB0" w:rsidRPr="004940D1" w:rsidRDefault="00C42DB0" w:rsidP="00C42DB0">
      <w:pPr>
        <w:overflowPunct/>
        <w:autoSpaceDE/>
        <w:autoSpaceDN/>
        <w:adjustRightInd/>
        <w:ind w:left="1134"/>
        <w:jc w:val="both"/>
        <w:textAlignment w:val="auto"/>
        <w:rPr>
          <w:rFonts w:cs="Humnst777 BT"/>
          <w:sz w:val="22"/>
          <w:szCs w:val="22"/>
        </w:rPr>
      </w:pPr>
      <w:r w:rsidRPr="004940D1">
        <w:rPr>
          <w:rFonts w:cs="Humnst777 BT"/>
          <w:sz w:val="22"/>
          <w:szCs w:val="22"/>
        </w:rPr>
        <w:t>BSc (Hons) Midwifery (Applied)</w:t>
      </w:r>
    </w:p>
    <w:p w:rsidR="00C42DB0" w:rsidRPr="004940D1" w:rsidRDefault="00C42DB0" w:rsidP="00C42DB0">
      <w:p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  <w:r w:rsidRPr="004940D1">
        <w:rPr>
          <w:b/>
          <w:color w:val="000080"/>
          <w:sz w:val="22"/>
          <w:szCs w:val="22"/>
        </w:rPr>
        <w:t>PROGRAMME AWARD</w:t>
      </w: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The award of BSc (Hons) Midwifery (Applied) is made upon successful completion of 480 credits over a period of 4 years full-time or 8 years part-time.</w:t>
      </w:r>
    </w:p>
    <w:p w:rsidR="00C42DB0" w:rsidRPr="004940D1" w:rsidRDefault="00C42DB0" w:rsidP="00C42DB0">
      <w:pPr>
        <w:suppressAutoHyphens/>
        <w:ind w:left="36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The programme is structured as follows:</w:t>
      </w: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Year 1 - 120 credits at level 4</w:t>
      </w: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Year 2 – 120 credits at level 5</w:t>
      </w: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Year 3 – 120 credits at level 6</w:t>
      </w: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Year 4 – 120 credits at level 6 (including a 30 credit placement module – see below)</w:t>
      </w:r>
    </w:p>
    <w:p w:rsidR="00C42DB0" w:rsidRPr="004940D1" w:rsidRDefault="00C42DB0" w:rsidP="00C42DB0">
      <w:pPr>
        <w:suppressAutoHyphens/>
        <w:ind w:left="36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To qualify for a Bachelor’s degree with honours in Midwifery (Applied) students must:</w:t>
      </w: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at least 480 credits of which 240 credits must be at level 6</w:t>
      </w: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5</w:t>
      </w: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4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  <w:r w:rsidRPr="004940D1">
        <w:rPr>
          <w:b/>
          <w:color w:val="000080"/>
          <w:sz w:val="22"/>
          <w:szCs w:val="22"/>
        </w:rPr>
        <w:t>DEFAULT AWARDS NOT LEADING TO PROFESSIONAL REGISTRATION</w:t>
      </w: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 xml:space="preserve">For a student who passes the theoretical elements of all modules and the assessment of practice in years 1, 2 and 3 but does not complete the final year, the Board of Examiners must consider recommending an exit award that does not lead to professional recognition. </w:t>
      </w:r>
    </w:p>
    <w:p w:rsidR="00C42DB0" w:rsidRPr="004940D1" w:rsidRDefault="00C42DB0" w:rsidP="00C42DB0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The following exit awards are available to students not recommended for an award leading to professional registration.</w:t>
      </w:r>
    </w:p>
    <w:p w:rsidR="00C42DB0" w:rsidRPr="004940D1" w:rsidRDefault="00C42DB0" w:rsidP="00C42DB0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To qualify for a Bachelor’s degree with honours in Healthcare students must: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at least 360 credits of which 120 credits must be at level 6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5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4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To qualify for a Bachelor’s degree in Healthcare students must: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lastRenderedPageBreak/>
        <w:t>pass at least 300 credits of which 60 credits must be at level 6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5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4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To qualify for a DipHE in Healthcare students must: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5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4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 xml:space="preserve">To qualify for a </w:t>
      </w:r>
      <w:proofErr w:type="spellStart"/>
      <w:r w:rsidRPr="004940D1">
        <w:rPr>
          <w:sz w:val="22"/>
          <w:szCs w:val="22"/>
        </w:rPr>
        <w:t>CertHE</w:t>
      </w:r>
      <w:proofErr w:type="spellEnd"/>
      <w:r w:rsidRPr="004940D1">
        <w:rPr>
          <w:sz w:val="22"/>
          <w:szCs w:val="22"/>
        </w:rPr>
        <w:t xml:space="preserve"> in Healthcare students must:</w:t>
      </w:r>
    </w:p>
    <w:p w:rsidR="00C42DB0" w:rsidRPr="004940D1" w:rsidRDefault="00C42DB0" w:rsidP="00C42DB0">
      <w:pPr>
        <w:numPr>
          <w:ilvl w:val="2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pass level 4</w:t>
      </w:r>
    </w:p>
    <w:p w:rsidR="00C42DB0" w:rsidRPr="004940D1" w:rsidRDefault="00C42DB0" w:rsidP="00C42DB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 xml:space="preserve">Aegrotat awards may be offered at the discretion of the Board of Examiners as outlined in the regulations; </w:t>
      </w:r>
      <w:proofErr w:type="gramStart"/>
      <w:r w:rsidRPr="004940D1">
        <w:rPr>
          <w:sz w:val="22"/>
          <w:szCs w:val="22"/>
        </w:rPr>
        <w:t>however</w:t>
      </w:r>
      <w:proofErr w:type="gramEnd"/>
      <w:r w:rsidRPr="004940D1">
        <w:rPr>
          <w:sz w:val="22"/>
          <w:szCs w:val="22"/>
        </w:rPr>
        <w:t xml:space="preserve"> such awards would not provide eligibility to apply for admission to the relevant professional register.</w:t>
      </w:r>
    </w:p>
    <w:p w:rsidR="00C42DB0" w:rsidRPr="004940D1" w:rsidRDefault="00C42DB0" w:rsidP="00C42DB0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 w:val="22"/>
          <w:szCs w:val="22"/>
        </w:rPr>
      </w:pP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  <w:r w:rsidRPr="004940D1">
        <w:rPr>
          <w:b/>
          <w:color w:val="000080"/>
          <w:sz w:val="22"/>
          <w:szCs w:val="22"/>
        </w:rPr>
        <w:t>CLASSIFICATION</w:t>
      </w:r>
    </w:p>
    <w:p w:rsidR="00C42DB0" w:rsidRPr="004940D1" w:rsidRDefault="00C42DB0" w:rsidP="00C42DB0">
      <w:pPr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 xml:space="preserve">In calculating the honours degree </w:t>
      </w:r>
      <w:proofErr w:type="gramStart"/>
      <w:r w:rsidRPr="004940D1">
        <w:rPr>
          <w:sz w:val="22"/>
          <w:szCs w:val="22"/>
        </w:rPr>
        <w:t>class</w:t>
      </w:r>
      <w:proofErr w:type="gramEnd"/>
      <w:r w:rsidRPr="004940D1">
        <w:rPr>
          <w:sz w:val="22"/>
          <w:szCs w:val="22"/>
        </w:rPr>
        <w:t xml:space="preserve"> the marks for each module are weighted according to their credit rating and the level of the module, with Level 6 marks weighted to Level 5 marks in the ratio 60:40.</w:t>
      </w:r>
    </w:p>
    <w:p w:rsidR="00C42DB0" w:rsidRPr="004940D1" w:rsidRDefault="00C42DB0" w:rsidP="00C42DB0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For the classification of a Bachelor’s degree with honours in Midwifery (Applied) a weighted average of the marks of the best 100 credits at Level 5 (year 2) and the marks of the best 100 credits at each year of Level 6 (years 3 &amp; 4) will be used and rounded to the nearest integer, as follows:</w:t>
      </w:r>
    </w:p>
    <w:p w:rsidR="00C42DB0" w:rsidRPr="004940D1" w:rsidRDefault="00C42DB0" w:rsidP="00C42DB0">
      <w:pPr>
        <w:suppressAutoHyphens/>
        <w:ind w:left="36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where the final mark is 70% and above, the award of First Class Honours will be made;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where the final mark is 60% - 69%, the award of Upper Second Class Honours will be made;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where the final mark is 50% - 59% the award of Lower Second Class Honours will be made;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1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where the final mark is 40% - 49% the award of Third Class Honours will be made.</w:t>
      </w:r>
    </w:p>
    <w:p w:rsidR="00C42DB0" w:rsidRPr="004940D1" w:rsidRDefault="00C42DB0" w:rsidP="00C42DB0">
      <w:pPr>
        <w:suppressAutoHyphens/>
        <w:ind w:left="1080"/>
        <w:jc w:val="both"/>
        <w:rPr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t>The classification for a Bachelor’s degree with honours in Healthcare is calculated as per the Univer</w:t>
      </w:r>
      <w:bookmarkStart w:id="0" w:name="_GoBack"/>
      <w:r w:rsidRPr="004940D1">
        <w:rPr>
          <w:sz w:val="22"/>
          <w:szCs w:val="22"/>
        </w:rPr>
        <w:t>sit</w:t>
      </w:r>
      <w:bookmarkEnd w:id="0"/>
      <w:r w:rsidRPr="004940D1">
        <w:rPr>
          <w:sz w:val="22"/>
          <w:szCs w:val="22"/>
        </w:rPr>
        <w:t>y regulations as outlined in the Regulation and Credit Framework for the Conferment of Awards</w:t>
      </w:r>
    </w:p>
    <w:p w:rsidR="00C42DB0" w:rsidRPr="004940D1" w:rsidRDefault="00C42DB0" w:rsidP="00C42DB0">
      <w:pPr>
        <w:overflowPunct/>
        <w:autoSpaceDE/>
        <w:autoSpaceDN/>
        <w:adjustRightInd/>
        <w:textAlignment w:val="auto"/>
        <w:rPr>
          <w:rFonts w:eastAsia="Calibri"/>
          <w:b/>
          <w:bCs/>
          <w:color w:val="000099"/>
          <w:sz w:val="22"/>
          <w:szCs w:val="22"/>
          <w:lang w:eastAsia="en-US"/>
        </w:rPr>
      </w:pP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  <w:r w:rsidRPr="004940D1">
        <w:rPr>
          <w:b/>
          <w:color w:val="000080"/>
          <w:sz w:val="22"/>
          <w:szCs w:val="22"/>
        </w:rPr>
        <w:t>MODULE CREDITS</w:t>
      </w:r>
    </w:p>
    <w:p w:rsidR="00C42DB0" w:rsidRPr="004940D1" w:rsidRDefault="00C42DB0" w:rsidP="00C42DB0">
      <w:pPr>
        <w:jc w:val="both"/>
        <w:rPr>
          <w:b/>
          <w:color w:val="000080"/>
          <w:sz w:val="22"/>
          <w:szCs w:val="22"/>
        </w:rPr>
      </w:pPr>
    </w:p>
    <w:p w:rsidR="00C42DB0" w:rsidRPr="004940D1" w:rsidRDefault="00C42DB0" w:rsidP="00C42DB0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2"/>
          <w:szCs w:val="22"/>
        </w:rPr>
      </w:pPr>
      <w:r w:rsidRPr="004940D1">
        <w:rPr>
          <w:sz w:val="22"/>
          <w:szCs w:val="22"/>
        </w:rPr>
        <w:lastRenderedPageBreak/>
        <w:t>Students may take a 30 credit module at level 6 as this will enable them to meet the Greek professional body’s (SEMMA) requirements. The 30 credit module cannot be discarded for the purpose of classification.</w:t>
      </w:r>
    </w:p>
    <w:p w:rsidR="00C42DB0" w:rsidRPr="004940D1" w:rsidRDefault="00C42DB0" w:rsidP="00C42DB0">
      <w:pPr>
        <w:overflowPunct/>
        <w:autoSpaceDE/>
        <w:autoSpaceDN/>
        <w:adjustRightInd/>
        <w:textAlignment w:val="auto"/>
        <w:rPr>
          <w:rFonts w:eastAsia="Calibri"/>
          <w:b/>
          <w:bCs/>
          <w:color w:val="000099"/>
          <w:sz w:val="22"/>
          <w:szCs w:val="22"/>
          <w:lang w:eastAsia="en-US"/>
        </w:rPr>
      </w:pPr>
    </w:p>
    <w:p w:rsidR="00C42DB0" w:rsidRPr="004940D1" w:rsidRDefault="00C42DB0" w:rsidP="00C42DB0">
      <w:pPr>
        <w:overflowPunct/>
        <w:autoSpaceDE/>
        <w:autoSpaceDN/>
        <w:adjustRightInd/>
        <w:textAlignment w:val="auto"/>
        <w:rPr>
          <w:rFonts w:eastAsia="Calibri"/>
          <w:b/>
          <w:bCs/>
          <w:color w:val="000099"/>
          <w:sz w:val="22"/>
          <w:szCs w:val="22"/>
          <w:lang w:eastAsia="en-US"/>
        </w:rPr>
      </w:pPr>
      <w:r w:rsidRPr="004940D1">
        <w:rPr>
          <w:rFonts w:eastAsia="Calibri"/>
          <w:b/>
          <w:bCs/>
          <w:color w:val="000099"/>
          <w:sz w:val="22"/>
          <w:szCs w:val="22"/>
          <w:lang w:eastAsia="en-US"/>
        </w:rPr>
        <w:t>CREDIT EXEMPTION ON ENTRY</w:t>
      </w:r>
    </w:p>
    <w:p w:rsidR="00C42DB0" w:rsidRPr="004940D1" w:rsidRDefault="00C42DB0" w:rsidP="00C42DB0">
      <w:pPr>
        <w:overflowPunct/>
        <w:autoSpaceDE/>
        <w:autoSpaceDN/>
        <w:adjustRightInd/>
        <w:textAlignment w:val="auto"/>
        <w:rPr>
          <w:rFonts w:eastAsia="Calibri"/>
          <w:b/>
          <w:bCs/>
          <w:color w:val="000099"/>
          <w:sz w:val="22"/>
          <w:szCs w:val="22"/>
          <w:lang w:eastAsia="en-US"/>
        </w:rPr>
      </w:pPr>
    </w:p>
    <w:p w:rsidR="00C42DB0" w:rsidRPr="004940D1" w:rsidRDefault="00C42DB0" w:rsidP="00C42DB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4940D1">
        <w:rPr>
          <w:rFonts w:eastAsia="Calibri"/>
          <w:color w:val="000000"/>
          <w:sz w:val="22"/>
          <w:szCs w:val="22"/>
          <w:lang w:eastAsia="en-US"/>
        </w:rPr>
        <w:t>Entrants may gain exemption from modules in line with the University’s policy in the Accreditation of Prior Learning (APL) however no Accreditation of Prior Experiential Learning (APEL) is permitted.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  <w:r w:rsidRPr="004940D1">
        <w:rPr>
          <w:rFonts w:eastAsia="Humnst777 BT"/>
          <w:b/>
          <w:bCs/>
          <w:color w:val="000099"/>
          <w:sz w:val="22"/>
          <w:szCs w:val="22"/>
          <w:lang w:eastAsia="ar-SA"/>
        </w:rPr>
        <w:t>ASSESSMENT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sz w:val="22"/>
          <w:szCs w:val="22"/>
          <w:lang w:eastAsia="ar-SA"/>
        </w:rPr>
      </w:pPr>
      <w:r w:rsidRPr="004940D1">
        <w:rPr>
          <w:rFonts w:eastAsia="Humnst777 BT"/>
          <w:sz w:val="22"/>
          <w:szCs w:val="22"/>
          <w:lang w:eastAsia="ar-SA"/>
        </w:rPr>
        <w:t>All assessments must be passed.  This includes theoretical assessments and those involved in the assessment of practice.</w:t>
      </w:r>
    </w:p>
    <w:p w:rsidR="00C42DB0" w:rsidRPr="004940D1" w:rsidRDefault="00C42DB0" w:rsidP="00C42DB0">
      <w:p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eastAsia="Humnst777 BT"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tabs>
          <w:tab w:val="left" w:pos="720"/>
          <w:tab w:val="center" w:pos="4320"/>
        </w:tabs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 w:cs="Arial"/>
          <w:sz w:val="22"/>
          <w:szCs w:val="22"/>
          <w:lang w:eastAsia="ar-SA"/>
        </w:rPr>
      </w:pPr>
      <w:r w:rsidRPr="004940D1">
        <w:rPr>
          <w:rFonts w:eastAsia="Humnst777 BT" w:cs="Arial"/>
          <w:sz w:val="22"/>
          <w:szCs w:val="22"/>
          <w:lang w:eastAsia="ar-SA"/>
        </w:rPr>
        <w:t>Assessment of Practice will receive a mark.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  <w:r w:rsidRPr="004940D1">
        <w:rPr>
          <w:rFonts w:eastAsia="Humnst777 BT"/>
          <w:b/>
          <w:bCs/>
          <w:color w:val="000099"/>
          <w:sz w:val="22"/>
          <w:szCs w:val="22"/>
          <w:lang w:eastAsia="ar-SA"/>
        </w:rPr>
        <w:t>RE</w:t>
      </w:r>
      <w:r w:rsidR="00721AC1">
        <w:rPr>
          <w:rFonts w:eastAsia="Humnst777 BT"/>
          <w:b/>
          <w:bCs/>
          <w:color w:val="000099"/>
          <w:sz w:val="22"/>
          <w:szCs w:val="22"/>
          <w:lang w:eastAsia="ar-SA"/>
        </w:rPr>
        <w:t>ASSESSMENT</w:t>
      </w:r>
      <w:r w:rsidRPr="004940D1">
        <w:rPr>
          <w:rFonts w:eastAsia="Humnst777 BT"/>
          <w:b/>
          <w:bCs/>
          <w:color w:val="000099"/>
          <w:sz w:val="22"/>
          <w:szCs w:val="22"/>
          <w:lang w:eastAsia="ar-SA"/>
        </w:rPr>
        <w:t xml:space="preserve"> RESTRICTIONS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b/>
          <w:bCs/>
          <w:i/>
          <w:sz w:val="22"/>
          <w:szCs w:val="22"/>
          <w:lang w:eastAsia="ar-SA"/>
        </w:rPr>
      </w:pPr>
      <w:r w:rsidRPr="004940D1">
        <w:rPr>
          <w:rFonts w:eastAsia="Humnst777 BT"/>
          <w:bCs/>
          <w:sz w:val="22"/>
          <w:szCs w:val="22"/>
          <w:lang w:eastAsia="ar-SA"/>
        </w:rPr>
        <w:t xml:space="preserve">A student may </w:t>
      </w:r>
      <w:r w:rsidR="00721AC1">
        <w:rPr>
          <w:rFonts w:eastAsia="Humnst777 BT"/>
          <w:bCs/>
          <w:sz w:val="22"/>
          <w:szCs w:val="22"/>
          <w:lang w:eastAsia="ar-SA"/>
        </w:rPr>
        <w:t>be reassessed in</w:t>
      </w:r>
      <w:r w:rsidRPr="004940D1">
        <w:rPr>
          <w:rFonts w:eastAsia="Humnst777 BT"/>
          <w:bCs/>
          <w:sz w:val="22"/>
          <w:szCs w:val="22"/>
          <w:lang w:eastAsia="ar-SA"/>
        </w:rPr>
        <w:t xml:space="preserve"> a practice assessment on one occasion only for each assessment of practice.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eastAsia="Humnst777 BT"/>
          <w:b/>
          <w:bCs/>
          <w:i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b/>
          <w:bCs/>
          <w:i/>
          <w:sz w:val="22"/>
          <w:szCs w:val="22"/>
          <w:lang w:eastAsia="ar-SA"/>
        </w:rPr>
      </w:pPr>
      <w:r w:rsidRPr="004940D1">
        <w:rPr>
          <w:rFonts w:eastAsia="Humnst777 BT" w:cs="Arial"/>
          <w:sz w:val="22"/>
          <w:szCs w:val="22"/>
          <w:lang w:eastAsia="ar-SA"/>
        </w:rPr>
        <w:t xml:space="preserve">A student who fails a practice assessment after all module </w:t>
      </w:r>
      <w:r w:rsidR="00721AC1">
        <w:rPr>
          <w:rFonts w:eastAsia="Humnst777 BT" w:cs="Arial"/>
          <w:sz w:val="22"/>
          <w:szCs w:val="22"/>
          <w:lang w:eastAsia="ar-SA"/>
        </w:rPr>
        <w:t>reassessment</w:t>
      </w:r>
      <w:r w:rsidRPr="004940D1">
        <w:rPr>
          <w:rFonts w:eastAsia="Humnst777 BT" w:cs="Arial"/>
          <w:sz w:val="22"/>
          <w:szCs w:val="22"/>
          <w:lang w:eastAsia="ar-SA"/>
        </w:rPr>
        <w:t xml:space="preserve"> opportunities have been exhausted will not be allowed to repeat the module and will be required to withdraw from the programme.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  <w:r w:rsidRPr="004940D1">
        <w:rPr>
          <w:rFonts w:eastAsia="Humnst777 BT"/>
          <w:b/>
          <w:bCs/>
          <w:color w:val="000099"/>
          <w:sz w:val="22"/>
          <w:szCs w:val="22"/>
          <w:lang w:eastAsia="ar-SA"/>
        </w:rPr>
        <w:t>COMPENSATION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bCs/>
          <w:sz w:val="22"/>
          <w:szCs w:val="22"/>
          <w:lang w:val="en" w:eastAsia="ar-SA"/>
        </w:rPr>
      </w:pPr>
      <w:r w:rsidRPr="004940D1">
        <w:rPr>
          <w:rFonts w:eastAsia="Humnst777 BT"/>
          <w:sz w:val="22"/>
          <w:szCs w:val="22"/>
          <w:lang w:eastAsia="ar-SA"/>
        </w:rPr>
        <w:t>The programme is excluded from University regulations regarding compensation.</w:t>
      </w:r>
    </w:p>
    <w:p w:rsidR="00C42DB0" w:rsidRPr="004940D1" w:rsidRDefault="00C42DB0" w:rsidP="00C42DB0">
      <w:p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eastAsia="Humnst777 BT"/>
          <w:bCs/>
          <w:sz w:val="22"/>
          <w:szCs w:val="22"/>
          <w:lang w:val="en"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bCs/>
          <w:i/>
          <w:sz w:val="22"/>
          <w:szCs w:val="22"/>
          <w:lang w:eastAsia="ar-SA"/>
        </w:rPr>
      </w:pPr>
      <w:r w:rsidRPr="004940D1">
        <w:rPr>
          <w:rFonts w:eastAsia="Humnst777 BT"/>
          <w:bCs/>
          <w:sz w:val="22"/>
          <w:szCs w:val="22"/>
          <w:lang w:val="en" w:eastAsia="ar-SA"/>
        </w:rPr>
        <w:t xml:space="preserve">There will be no </w:t>
      </w:r>
      <w:r w:rsidRPr="004940D1">
        <w:rPr>
          <w:rFonts w:eastAsia="Humnst777 BT"/>
          <w:sz w:val="22"/>
          <w:szCs w:val="22"/>
          <w:lang w:eastAsia="ar-SA"/>
        </w:rPr>
        <w:t>compensation for failure in the assessment of practice</w:t>
      </w:r>
      <w:r w:rsidRPr="004940D1">
        <w:rPr>
          <w:rFonts w:eastAsia="Humnst777 BT"/>
          <w:bCs/>
          <w:sz w:val="22"/>
          <w:szCs w:val="22"/>
          <w:lang w:val="en" w:eastAsia="ar-SA"/>
        </w:rPr>
        <w:t xml:space="preserve"> and t</w:t>
      </w:r>
      <w:r w:rsidRPr="004940D1">
        <w:rPr>
          <w:rFonts w:eastAsia="Humnst777 BT"/>
          <w:sz w:val="22"/>
          <w:szCs w:val="22"/>
          <w:lang w:eastAsia="ar-SA"/>
        </w:rPr>
        <w:t>here can be no compensation between theory and practice. Students must pass successfully all elements of practice learning.</w:t>
      </w:r>
    </w:p>
    <w:p w:rsidR="00C42DB0" w:rsidRPr="004940D1" w:rsidRDefault="00C42DB0" w:rsidP="00C42DB0">
      <w:pPr>
        <w:keepNext/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keepNext/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  <w:r w:rsidRPr="004940D1">
        <w:rPr>
          <w:rFonts w:eastAsia="Humnst777 BT"/>
          <w:b/>
          <w:bCs/>
          <w:color w:val="000099"/>
          <w:sz w:val="22"/>
          <w:szCs w:val="22"/>
          <w:lang w:eastAsia="ar-SA"/>
        </w:rPr>
        <w:t>PROGRESSION</w:t>
      </w:r>
    </w:p>
    <w:p w:rsidR="00C42DB0" w:rsidRPr="004940D1" w:rsidRDefault="00C42DB0" w:rsidP="00C42DB0">
      <w:pPr>
        <w:keepNext/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b/>
          <w:bCs/>
          <w:i/>
          <w:sz w:val="22"/>
          <w:szCs w:val="22"/>
          <w:lang w:val="en" w:eastAsia="ar-SA"/>
        </w:rPr>
      </w:pPr>
      <w:r w:rsidRPr="004940D1">
        <w:rPr>
          <w:rFonts w:eastAsia="Humnst777 BT"/>
          <w:sz w:val="22"/>
          <w:szCs w:val="22"/>
          <w:lang w:eastAsia="ar-SA"/>
        </w:rPr>
        <w:t>A student may only progress from one year or one stage of the programme to the next on successful completion of the required practice assessment.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eastAsia="Humnst777 BT"/>
          <w:b/>
          <w:bCs/>
          <w:i/>
          <w:sz w:val="22"/>
          <w:szCs w:val="22"/>
          <w:highlight w:val="yellow"/>
          <w:lang w:val="en"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bCs/>
          <w:sz w:val="22"/>
          <w:szCs w:val="22"/>
          <w:lang w:val="en" w:eastAsia="ar-SA"/>
        </w:rPr>
      </w:pPr>
      <w:r w:rsidRPr="004940D1">
        <w:rPr>
          <w:rFonts w:eastAsia="Humnst777 BT"/>
          <w:bCs/>
          <w:sz w:val="22"/>
          <w:szCs w:val="22"/>
          <w:lang w:val="en" w:eastAsia="ar-SA"/>
        </w:rPr>
        <w:t xml:space="preserve">Students on the programme are excluded from the University trail &amp; progress regulations however may continue into the next stage of the programme with outstanding </w:t>
      </w:r>
      <w:r w:rsidR="00721AC1">
        <w:rPr>
          <w:rFonts w:eastAsia="Humnst777 BT"/>
          <w:bCs/>
          <w:sz w:val="22"/>
          <w:szCs w:val="22"/>
          <w:lang w:val="en" w:eastAsia="ar-SA"/>
        </w:rPr>
        <w:t>reassessment</w:t>
      </w:r>
      <w:r w:rsidRPr="004940D1">
        <w:rPr>
          <w:rFonts w:eastAsia="Humnst777 BT"/>
          <w:bCs/>
          <w:sz w:val="22"/>
          <w:szCs w:val="22"/>
          <w:lang w:val="en" w:eastAsia="ar-SA"/>
        </w:rPr>
        <w:t xml:space="preserve"> opportunities provided this is in exceptional circumstances only and the final </w:t>
      </w:r>
      <w:r w:rsidR="00721AC1">
        <w:rPr>
          <w:rFonts w:eastAsia="Humnst777 BT"/>
          <w:bCs/>
          <w:sz w:val="22"/>
          <w:szCs w:val="22"/>
          <w:lang w:val="en" w:eastAsia="ar-SA"/>
        </w:rPr>
        <w:t>reassessment</w:t>
      </w:r>
      <w:r w:rsidRPr="004940D1">
        <w:rPr>
          <w:rFonts w:eastAsia="Humnst777 BT"/>
          <w:bCs/>
          <w:sz w:val="22"/>
          <w:szCs w:val="22"/>
          <w:lang w:val="en" w:eastAsia="ar-SA"/>
        </w:rPr>
        <w:t xml:space="preserve"> opportunity for the referred credits must occur and be confirmed within 12 weeks of entering the next stage of the programme.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  <w:r w:rsidRPr="004940D1">
        <w:rPr>
          <w:rFonts w:eastAsia="Humnst777 BT"/>
          <w:b/>
          <w:bCs/>
          <w:color w:val="000099"/>
          <w:sz w:val="22"/>
          <w:szCs w:val="22"/>
          <w:lang w:eastAsia="ar-SA"/>
        </w:rPr>
        <w:t>PROFESSIONAL PRACTICE AND CONDUCT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bCs/>
          <w:sz w:val="22"/>
          <w:szCs w:val="22"/>
          <w:lang w:eastAsia="ar-SA"/>
        </w:rPr>
      </w:pPr>
      <w:r w:rsidRPr="004940D1">
        <w:rPr>
          <w:rFonts w:eastAsia="Humnst777 BT"/>
          <w:bCs/>
          <w:sz w:val="22"/>
          <w:szCs w:val="22"/>
          <w:lang w:eastAsia="ar-SA"/>
        </w:rPr>
        <w:t>As a condition of a professional award, students must meet successfully the requirements concerning attendance and professional practice</w:t>
      </w:r>
      <w:r w:rsidRPr="004940D1">
        <w:rPr>
          <w:rFonts w:eastAsia="Humnst777 BT"/>
          <w:sz w:val="22"/>
          <w:szCs w:val="24"/>
          <w:lang w:eastAsia="ar-SA"/>
        </w:rPr>
        <w:t>, together with the requirements of the regulatory bodies relating to student conduct, good health and good character</w:t>
      </w:r>
      <w:r w:rsidRPr="004940D1">
        <w:rPr>
          <w:rFonts w:eastAsia="Humnst777 BT"/>
          <w:bCs/>
          <w:sz w:val="22"/>
          <w:szCs w:val="22"/>
          <w:lang w:eastAsia="ar-SA"/>
        </w:rPr>
        <w:t xml:space="preserve">. Breaches of professional conduct will be subject to the fitness to practise procedures for the Faculty. </w:t>
      </w:r>
    </w:p>
    <w:p w:rsidR="00C42DB0" w:rsidRPr="004940D1" w:rsidRDefault="00C42DB0" w:rsidP="00C42DB0">
      <w:pPr>
        <w:suppressAutoHyphens/>
        <w:jc w:val="both"/>
        <w:rPr>
          <w:sz w:val="22"/>
          <w:szCs w:val="22"/>
        </w:rPr>
      </w:pP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  <w:r w:rsidRPr="004940D1">
        <w:rPr>
          <w:rFonts w:eastAsia="Humnst777 BT"/>
          <w:b/>
          <w:bCs/>
          <w:color w:val="000099"/>
          <w:sz w:val="22"/>
          <w:szCs w:val="22"/>
          <w:lang w:eastAsia="ar-SA"/>
        </w:rPr>
        <w:t>EXTERNAL EXAMINERS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rFonts w:eastAsia="Humnst777 BT"/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Humnst777 BT"/>
          <w:sz w:val="22"/>
          <w:szCs w:val="22"/>
          <w:lang w:eastAsia="ar-SA"/>
        </w:rPr>
      </w:pPr>
      <w:r w:rsidRPr="004940D1">
        <w:rPr>
          <w:rFonts w:eastAsia="Humnst777 BT"/>
          <w:sz w:val="22"/>
          <w:szCs w:val="22"/>
          <w:lang w:eastAsia="ar-SA"/>
        </w:rPr>
        <w:t>At least one external examiner appointed to the programme/pathway must be appropriately experienced and qualified in the relevant area of practice.</w:t>
      </w:r>
    </w:p>
    <w:p w:rsidR="00C42DB0" w:rsidRPr="004940D1" w:rsidRDefault="00C42DB0" w:rsidP="00C42DB0">
      <w:pPr>
        <w:suppressAutoHyphens/>
        <w:jc w:val="both"/>
        <w:rPr>
          <w:sz w:val="22"/>
          <w:szCs w:val="22"/>
        </w:rPr>
      </w:pPr>
    </w:p>
    <w:p w:rsidR="00C42DB0" w:rsidRPr="004940D1" w:rsidRDefault="00C42DB0" w:rsidP="00C42DB0">
      <w:pPr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C42DB0" w:rsidRPr="004940D1" w:rsidRDefault="00C42DB0" w:rsidP="00C42DB0">
      <w:pPr>
        <w:overflowPunct/>
        <w:autoSpaceDE/>
        <w:autoSpaceDN/>
        <w:adjustRightInd/>
        <w:jc w:val="both"/>
        <w:textAlignment w:val="auto"/>
        <w:rPr>
          <w:b/>
          <w:color w:val="333399"/>
          <w:sz w:val="22"/>
          <w:szCs w:val="22"/>
        </w:rPr>
      </w:pPr>
      <w:r w:rsidRPr="004940D1">
        <w:rPr>
          <w:b/>
          <w:color w:val="333399"/>
          <w:sz w:val="22"/>
          <w:szCs w:val="22"/>
        </w:rPr>
        <w:br w:type="page"/>
      </w:r>
    </w:p>
    <w:p w:rsidR="00C42DB0" w:rsidRPr="004940D1" w:rsidRDefault="00C42DB0" w:rsidP="00C42DB0">
      <w:pPr>
        <w:jc w:val="center"/>
        <w:rPr>
          <w:b/>
          <w:color w:val="333399"/>
          <w:sz w:val="22"/>
          <w:szCs w:val="22"/>
        </w:rPr>
      </w:pPr>
      <w:r w:rsidRPr="004940D1">
        <w:rPr>
          <w:b/>
          <w:color w:val="333399"/>
          <w:sz w:val="22"/>
          <w:szCs w:val="22"/>
        </w:rPr>
        <w:lastRenderedPageBreak/>
        <w:t>SPECIAL REGULATIONS: BSc (HONS) MIDWIFERY (APPLIED)</w:t>
      </w:r>
    </w:p>
    <w:p w:rsidR="00C42DB0" w:rsidRPr="004940D1" w:rsidRDefault="00C42DB0" w:rsidP="00C42DB0">
      <w:pPr>
        <w:jc w:val="center"/>
        <w:rPr>
          <w:b/>
          <w:color w:val="000080"/>
          <w:sz w:val="22"/>
          <w:szCs w:val="22"/>
        </w:rPr>
      </w:pP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olor w:val="000099"/>
          <w:sz w:val="22"/>
          <w:szCs w:val="22"/>
          <w:lang w:eastAsia="ar-SA"/>
        </w:rPr>
      </w:pPr>
      <w:r w:rsidRPr="004940D1">
        <w:rPr>
          <w:b/>
          <w:bCs/>
          <w:color w:val="000099"/>
          <w:sz w:val="22"/>
          <w:szCs w:val="22"/>
          <w:lang w:eastAsia="ar-SA"/>
        </w:rPr>
        <w:t>SCHEDULE ONE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olor w:val="000099"/>
          <w:sz w:val="22"/>
          <w:szCs w:val="22"/>
          <w:lang w:eastAsia="ar-SA"/>
        </w:rPr>
      </w:pP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olor w:val="000099"/>
          <w:sz w:val="22"/>
          <w:szCs w:val="22"/>
          <w:lang w:eastAsia="ar-SA"/>
        </w:rPr>
      </w:pPr>
      <w:r w:rsidRPr="004940D1">
        <w:rPr>
          <w:b/>
          <w:bCs/>
          <w:color w:val="000099"/>
          <w:sz w:val="22"/>
          <w:szCs w:val="22"/>
          <w:lang w:eastAsia="ar-SA"/>
        </w:rPr>
        <w:t>SUMMARY OF AMENDMENTS</w:t>
      </w:r>
    </w:p>
    <w:p w:rsidR="00C42DB0" w:rsidRPr="004940D1" w:rsidRDefault="00C42DB0" w:rsidP="00C42DB0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color w:val="000099"/>
          <w:sz w:val="22"/>
          <w:szCs w:val="22"/>
          <w:lang w:eastAsia="ar-S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984"/>
        <w:gridCol w:w="1985"/>
      </w:tblGrid>
      <w:tr w:rsidR="00C42DB0" w:rsidRPr="004940D1" w:rsidTr="003A2E15">
        <w:tc>
          <w:tcPr>
            <w:tcW w:w="5358" w:type="dxa"/>
            <w:shd w:val="clear" w:color="auto" w:fill="F2F2F2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4940D1">
              <w:rPr>
                <w:rFonts w:cs="Calibri"/>
                <w:b/>
                <w:bCs/>
                <w:lang w:eastAsia="ar-SA"/>
              </w:rPr>
              <w:t>Amendment</w:t>
            </w:r>
          </w:p>
        </w:tc>
        <w:tc>
          <w:tcPr>
            <w:tcW w:w="1984" w:type="dxa"/>
            <w:shd w:val="clear" w:color="auto" w:fill="F2F2F2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4940D1">
              <w:rPr>
                <w:rFonts w:cs="Calibri"/>
                <w:b/>
                <w:bCs/>
                <w:lang w:eastAsia="ar-SA"/>
              </w:rPr>
              <w:t>Date Approved</w:t>
            </w:r>
          </w:p>
        </w:tc>
        <w:tc>
          <w:tcPr>
            <w:tcW w:w="1985" w:type="dxa"/>
            <w:shd w:val="clear" w:color="auto" w:fill="F2F2F2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4940D1">
              <w:rPr>
                <w:rFonts w:cs="Calibri"/>
                <w:b/>
                <w:bCs/>
                <w:lang w:eastAsia="ar-SA"/>
              </w:rPr>
              <w:t xml:space="preserve">Effective From </w:t>
            </w:r>
          </w:p>
        </w:tc>
      </w:tr>
      <w:tr w:rsidR="00C42DB0" w:rsidRPr="004940D1" w:rsidTr="003A2E15">
        <w:tc>
          <w:tcPr>
            <w:tcW w:w="5358" w:type="dxa"/>
          </w:tcPr>
          <w:p w:rsidR="00C42DB0" w:rsidRPr="004940D1" w:rsidRDefault="00C42DB0" w:rsidP="003A2E1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Calibri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Cs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Cs/>
                <w:szCs w:val="22"/>
                <w:lang w:eastAsia="ar-SA"/>
              </w:rPr>
            </w:pPr>
          </w:p>
        </w:tc>
      </w:tr>
      <w:tr w:rsidR="00C42DB0" w:rsidRPr="004940D1" w:rsidTr="003A2E15">
        <w:tc>
          <w:tcPr>
            <w:tcW w:w="5358" w:type="dxa"/>
          </w:tcPr>
          <w:p w:rsidR="00C42DB0" w:rsidRPr="004940D1" w:rsidRDefault="00C42DB0" w:rsidP="003A2E1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Calibri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Cs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Cs/>
                <w:szCs w:val="22"/>
                <w:lang w:eastAsia="ar-SA"/>
              </w:rPr>
            </w:pPr>
          </w:p>
        </w:tc>
      </w:tr>
      <w:tr w:rsidR="00C42DB0" w:rsidRPr="004940D1" w:rsidTr="003A2E15">
        <w:tc>
          <w:tcPr>
            <w:tcW w:w="5358" w:type="dxa"/>
          </w:tcPr>
          <w:p w:rsidR="00C42DB0" w:rsidRPr="004940D1" w:rsidRDefault="00C42DB0" w:rsidP="003A2E15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Calibri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Cs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C42DB0" w:rsidRPr="004940D1" w:rsidRDefault="00C42DB0" w:rsidP="003A2E15">
            <w:pPr>
              <w:suppressAutoHyphens/>
              <w:autoSpaceDN/>
              <w:adjustRightInd/>
              <w:snapToGrid w:val="0"/>
              <w:jc w:val="both"/>
              <w:rPr>
                <w:rFonts w:cs="Calibri"/>
                <w:bCs/>
                <w:szCs w:val="22"/>
                <w:lang w:eastAsia="ar-SA"/>
              </w:rPr>
            </w:pPr>
          </w:p>
        </w:tc>
      </w:tr>
    </w:tbl>
    <w:p w:rsidR="00C42DB0" w:rsidRPr="00FD42B5" w:rsidRDefault="00C42DB0" w:rsidP="00C42DB0">
      <w:pPr>
        <w:widowControl w:val="0"/>
        <w:jc w:val="both"/>
        <w:rPr>
          <w:sz w:val="24"/>
          <w:szCs w:val="24"/>
        </w:rPr>
      </w:pPr>
    </w:p>
    <w:p w:rsidR="00C42DB0" w:rsidRPr="00FD42B5" w:rsidRDefault="00C42DB0" w:rsidP="00C42DB0">
      <w:pPr>
        <w:widowControl w:val="0"/>
        <w:jc w:val="both"/>
        <w:rPr>
          <w:sz w:val="24"/>
          <w:szCs w:val="24"/>
        </w:rPr>
      </w:pPr>
    </w:p>
    <w:p w:rsidR="00C42DB0" w:rsidRPr="00FD42B5" w:rsidRDefault="00C42DB0" w:rsidP="00C42DB0">
      <w:pPr>
        <w:widowControl w:val="0"/>
        <w:jc w:val="both"/>
        <w:rPr>
          <w:sz w:val="24"/>
          <w:szCs w:val="24"/>
        </w:rPr>
      </w:pPr>
    </w:p>
    <w:p w:rsidR="00F602E5" w:rsidRDefault="00F602E5"/>
    <w:sectPr w:rsidR="00F602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B0" w:rsidRDefault="00C42DB0" w:rsidP="00C42DB0">
      <w:r>
        <w:separator/>
      </w:r>
    </w:p>
  </w:endnote>
  <w:endnote w:type="continuationSeparator" w:id="0">
    <w:p w:rsidR="00C42DB0" w:rsidRDefault="00C42DB0" w:rsidP="00C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796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DB0" w:rsidRDefault="00C42DB0" w:rsidP="00C42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2DB0" w:rsidRDefault="00C42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B0" w:rsidRDefault="00C42DB0" w:rsidP="00C42DB0">
      <w:r>
        <w:separator/>
      </w:r>
    </w:p>
  </w:footnote>
  <w:footnote w:type="continuationSeparator" w:id="0">
    <w:p w:rsidR="00C42DB0" w:rsidRDefault="00C42DB0" w:rsidP="00C4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23061CA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866C8C"/>
    <w:multiLevelType w:val="multilevel"/>
    <w:tmpl w:val="C9BCAE8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Humnst777 BT" w:eastAsia="Humnst777 BT" w:hAnsi="Humnst777 BT" w:cs="Times New Roman"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B0"/>
    <w:rsid w:val="00721AC1"/>
    <w:rsid w:val="00C42DB0"/>
    <w:rsid w:val="00C66CD7"/>
    <w:rsid w:val="00F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7405"/>
  <w15:chartTrackingRefBased/>
  <w15:docId w15:val="{3C566B87-33C6-4784-8DAD-D19C7D1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B0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B0"/>
    <w:rPr>
      <w:rFonts w:ascii="Humnst777 BT" w:eastAsia="Times New Roman" w:hAnsi="Humnst777 BT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A9CEE763</Template>
  <TotalTime>7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Collins, Suzanne (suzanne.collins@canterbury.ac.uk)</cp:lastModifiedBy>
  <cp:revision>3</cp:revision>
  <dcterms:created xsi:type="dcterms:W3CDTF">2016-06-10T12:53:00Z</dcterms:created>
  <dcterms:modified xsi:type="dcterms:W3CDTF">2016-09-15T12:10:00Z</dcterms:modified>
</cp:coreProperties>
</file>