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E" w:rsidRDefault="00152396" w:rsidP="000E6996">
      <w:pPr>
        <w:spacing w:after="120"/>
        <w:jc w:val="center"/>
        <w:rPr>
          <w:b/>
          <w:color w:val="000080"/>
          <w:szCs w:val="22"/>
        </w:rPr>
      </w:pPr>
      <w:r>
        <w:rPr>
          <w:b/>
          <w:color w:val="000080"/>
          <w:szCs w:val="22"/>
        </w:rPr>
        <w:t>SPECIAL REGULATIONS:</w:t>
      </w:r>
      <w:r w:rsidR="00C26BCE">
        <w:rPr>
          <w:b/>
          <w:color w:val="000080"/>
          <w:szCs w:val="22"/>
        </w:rPr>
        <w:t xml:space="preserve"> </w:t>
      </w:r>
      <w:r w:rsidR="009A326A">
        <w:rPr>
          <w:b/>
          <w:color w:val="000080"/>
          <w:szCs w:val="22"/>
        </w:rPr>
        <w:t>POST</w:t>
      </w:r>
      <w:r w:rsidR="00C26BCE" w:rsidRPr="000E6996">
        <w:rPr>
          <w:b/>
          <w:color w:val="000080"/>
          <w:szCs w:val="22"/>
        </w:rPr>
        <w:t xml:space="preserve">GRADUATE DIPLOMA </w:t>
      </w:r>
      <w:r w:rsidR="00C26BCE">
        <w:rPr>
          <w:b/>
          <w:color w:val="000080"/>
          <w:szCs w:val="22"/>
        </w:rPr>
        <w:t xml:space="preserve">/ MA YOUTH </w:t>
      </w:r>
      <w:r w:rsidR="00106332">
        <w:rPr>
          <w:b/>
          <w:color w:val="000080"/>
          <w:szCs w:val="22"/>
        </w:rPr>
        <w:t xml:space="preserve">WORK </w:t>
      </w:r>
      <w:r w:rsidR="00C26BCE">
        <w:rPr>
          <w:b/>
          <w:color w:val="000080"/>
          <w:szCs w:val="22"/>
        </w:rPr>
        <w:t xml:space="preserve">AND COMMUNITY LEARNING </w:t>
      </w:r>
      <w:r w:rsidR="00106332">
        <w:rPr>
          <w:b/>
          <w:color w:val="000080"/>
          <w:szCs w:val="22"/>
        </w:rPr>
        <w:t>AND</w:t>
      </w:r>
      <w:r w:rsidR="00C26BCE">
        <w:rPr>
          <w:b/>
          <w:color w:val="000080"/>
          <w:szCs w:val="22"/>
        </w:rPr>
        <w:t xml:space="preserve"> DEVELOPMENT</w:t>
      </w:r>
    </w:p>
    <w:p w:rsidR="0026613B" w:rsidRPr="00FB5279" w:rsidRDefault="0026613B" w:rsidP="00947BE1">
      <w:pPr>
        <w:spacing w:before="240" w:after="240" w:line="276" w:lineRule="auto"/>
        <w:rPr>
          <w:b/>
          <w:color w:val="000080"/>
          <w:szCs w:val="22"/>
        </w:rPr>
      </w:pPr>
      <w:r w:rsidRPr="00FB5279">
        <w:rPr>
          <w:b/>
          <w:color w:val="000080"/>
          <w:szCs w:val="22"/>
        </w:rPr>
        <w:t>INTRODUCTION</w:t>
      </w:r>
      <w:r w:rsidR="00A67A64">
        <w:rPr>
          <w:b/>
          <w:color w:val="000080"/>
          <w:szCs w:val="22"/>
        </w:rPr>
        <w:t xml:space="preserve">   </w:t>
      </w:r>
    </w:p>
    <w:p w:rsidR="00152396" w:rsidRPr="00152396" w:rsidRDefault="00152396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>
        <w:rPr>
          <w:szCs w:val="22"/>
        </w:rPr>
        <w:t xml:space="preserve">In these special regulations, ‘the University’ refers to Canterbury Christ Church University and ‘the College’ to YMCA George Williams College. </w:t>
      </w:r>
    </w:p>
    <w:p w:rsidR="000E6996" w:rsidRPr="00C26BCE" w:rsidRDefault="0026613B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 w:rsidRPr="00C26BCE">
        <w:rPr>
          <w:szCs w:val="22"/>
        </w:rPr>
        <w:t>The</w:t>
      </w:r>
      <w:r w:rsidR="00152396">
        <w:rPr>
          <w:szCs w:val="22"/>
        </w:rPr>
        <w:t>se special regulations relate to the following programmes:</w:t>
      </w:r>
    </w:p>
    <w:p w:rsidR="00C26BCE" w:rsidRPr="00152396" w:rsidRDefault="000E6996" w:rsidP="00152396">
      <w:pPr>
        <w:pStyle w:val="ListParagraph"/>
        <w:numPr>
          <w:ilvl w:val="0"/>
          <w:numId w:val="10"/>
        </w:numPr>
        <w:suppressAutoHyphens/>
        <w:overflowPunct/>
        <w:autoSpaceDE/>
        <w:autoSpaceDN/>
        <w:adjustRightInd/>
        <w:spacing w:after="120" w:line="276" w:lineRule="auto"/>
        <w:ind w:left="1134"/>
        <w:jc w:val="both"/>
        <w:textAlignment w:val="auto"/>
        <w:rPr>
          <w:szCs w:val="22"/>
        </w:rPr>
      </w:pPr>
      <w:r w:rsidRPr="00152396">
        <w:rPr>
          <w:szCs w:val="22"/>
        </w:rPr>
        <w:t>Post</w:t>
      </w:r>
      <w:r w:rsidR="00A67A64" w:rsidRPr="00152396">
        <w:rPr>
          <w:szCs w:val="22"/>
        </w:rPr>
        <w:t>g</w:t>
      </w:r>
      <w:r w:rsidRPr="00152396">
        <w:rPr>
          <w:szCs w:val="22"/>
        </w:rPr>
        <w:t>rad</w:t>
      </w:r>
      <w:r w:rsidR="0034003D" w:rsidRPr="00152396">
        <w:rPr>
          <w:szCs w:val="22"/>
        </w:rPr>
        <w:t xml:space="preserve">uate Diploma </w:t>
      </w:r>
      <w:r w:rsidR="00C26BCE" w:rsidRPr="00152396">
        <w:rPr>
          <w:szCs w:val="22"/>
        </w:rPr>
        <w:t xml:space="preserve">Youth </w:t>
      </w:r>
      <w:r w:rsidR="000227CC" w:rsidRPr="00152396">
        <w:rPr>
          <w:szCs w:val="22"/>
        </w:rPr>
        <w:t xml:space="preserve">Work </w:t>
      </w:r>
      <w:r w:rsidR="00C26BCE" w:rsidRPr="00152396">
        <w:rPr>
          <w:szCs w:val="22"/>
        </w:rPr>
        <w:t>and Community Learning and Development</w:t>
      </w:r>
    </w:p>
    <w:p w:rsidR="00C26BCE" w:rsidRPr="00152396" w:rsidRDefault="00C26BCE" w:rsidP="00152396">
      <w:pPr>
        <w:pStyle w:val="ListParagraph"/>
        <w:numPr>
          <w:ilvl w:val="0"/>
          <w:numId w:val="10"/>
        </w:numPr>
        <w:suppressAutoHyphens/>
        <w:overflowPunct/>
        <w:autoSpaceDE/>
        <w:autoSpaceDN/>
        <w:adjustRightInd/>
        <w:spacing w:after="120" w:line="276" w:lineRule="auto"/>
        <w:ind w:left="1134"/>
        <w:jc w:val="both"/>
        <w:textAlignment w:val="auto"/>
        <w:rPr>
          <w:szCs w:val="22"/>
        </w:rPr>
      </w:pPr>
      <w:r w:rsidRPr="00152396">
        <w:rPr>
          <w:szCs w:val="22"/>
        </w:rPr>
        <w:t>M.A. Youth</w:t>
      </w:r>
      <w:r w:rsidR="000227CC" w:rsidRPr="00152396">
        <w:rPr>
          <w:szCs w:val="22"/>
        </w:rPr>
        <w:t xml:space="preserve"> Work</w:t>
      </w:r>
      <w:r w:rsidRPr="00152396">
        <w:rPr>
          <w:szCs w:val="22"/>
        </w:rPr>
        <w:t xml:space="preserve"> and Community Learning and Development</w:t>
      </w:r>
    </w:p>
    <w:p w:rsidR="00152396" w:rsidRDefault="00726F57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>
        <w:rPr>
          <w:szCs w:val="22"/>
        </w:rPr>
        <w:t xml:space="preserve">All programmes are presented only at the College. </w:t>
      </w:r>
      <w:r w:rsidR="006A4626" w:rsidRPr="00726F57">
        <w:rPr>
          <w:szCs w:val="22"/>
        </w:rPr>
        <w:t>The Post Graduate Diploma is available as both a qualifying and a non-qualifying programme.</w:t>
      </w:r>
      <w:r w:rsidR="00106332" w:rsidRPr="00726F57">
        <w:rPr>
          <w:szCs w:val="22"/>
        </w:rPr>
        <w:t xml:space="preserve">  The qualifying route is approved by the NYA and the CLD Scotland and is endorsed by the JNC.)</w:t>
      </w:r>
    </w:p>
    <w:p w:rsidR="001838A1" w:rsidRPr="00FB5279" w:rsidRDefault="001838A1" w:rsidP="00152396">
      <w:pPr>
        <w:spacing w:before="240" w:after="240" w:line="276" w:lineRule="auto"/>
        <w:jc w:val="both"/>
        <w:rPr>
          <w:b/>
          <w:color w:val="000080"/>
          <w:szCs w:val="22"/>
        </w:rPr>
      </w:pPr>
      <w:r w:rsidRPr="00FB5279">
        <w:rPr>
          <w:b/>
          <w:color w:val="000080"/>
          <w:szCs w:val="22"/>
        </w:rPr>
        <w:t>DUTIES OF THE UNIVERSITY ACADEMIC REGISTRAR PERFORMED BY THE COLLEGE</w:t>
      </w:r>
    </w:p>
    <w:p w:rsidR="001838A1" w:rsidRPr="001838A1" w:rsidRDefault="001838A1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 w:rsidRPr="002F2D65">
        <w:rPr>
          <w:szCs w:val="22"/>
        </w:rPr>
        <w:t xml:space="preserve">The nominee of the Principal of the College will perform the duties of the Academic Registrar of the University set out in the </w:t>
      </w:r>
      <w:r w:rsidR="00152396">
        <w:rPr>
          <w:szCs w:val="22"/>
        </w:rPr>
        <w:t>Regulation and Credit Framework for the Conferment of Awards.</w:t>
      </w:r>
    </w:p>
    <w:p w:rsidR="000E6996" w:rsidRPr="00FB5279" w:rsidRDefault="000E6996" w:rsidP="00152396">
      <w:pPr>
        <w:spacing w:before="240" w:after="240" w:line="276" w:lineRule="auto"/>
        <w:jc w:val="both"/>
        <w:rPr>
          <w:b/>
          <w:color w:val="000080"/>
          <w:szCs w:val="22"/>
        </w:rPr>
      </w:pPr>
      <w:r w:rsidRPr="00FB5279">
        <w:rPr>
          <w:b/>
          <w:color w:val="000080"/>
          <w:szCs w:val="22"/>
        </w:rPr>
        <w:t>ENTRY REQUIREMENTS</w:t>
      </w:r>
    </w:p>
    <w:p w:rsidR="00022183" w:rsidRDefault="006C334C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>
        <w:rPr>
          <w:szCs w:val="22"/>
        </w:rPr>
        <w:t>E</w:t>
      </w:r>
      <w:r w:rsidR="001838A1">
        <w:rPr>
          <w:szCs w:val="22"/>
        </w:rPr>
        <w:t xml:space="preserve">ntrants must be able to demonstrate that they </w:t>
      </w:r>
      <w:r w:rsidR="00106332">
        <w:rPr>
          <w:szCs w:val="22"/>
        </w:rPr>
        <w:t>will be able to meet</w:t>
      </w:r>
      <w:r w:rsidR="001838A1">
        <w:rPr>
          <w:szCs w:val="22"/>
        </w:rPr>
        <w:t xml:space="preserve"> </w:t>
      </w:r>
      <w:r w:rsidR="00106332">
        <w:rPr>
          <w:szCs w:val="22"/>
        </w:rPr>
        <w:t xml:space="preserve">the </w:t>
      </w:r>
      <w:r>
        <w:rPr>
          <w:szCs w:val="22"/>
        </w:rPr>
        <w:t xml:space="preserve">practice requirements </w:t>
      </w:r>
      <w:r w:rsidR="00FB5279">
        <w:rPr>
          <w:szCs w:val="22"/>
        </w:rPr>
        <w:t xml:space="preserve">for the full duration of the </w:t>
      </w:r>
      <w:r>
        <w:rPr>
          <w:szCs w:val="22"/>
        </w:rPr>
        <w:t>programme.</w:t>
      </w:r>
    </w:p>
    <w:p w:rsidR="00106332" w:rsidRPr="006C334C" w:rsidRDefault="006C334C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>
        <w:rPr>
          <w:szCs w:val="22"/>
        </w:rPr>
        <w:t xml:space="preserve">Entrants </w:t>
      </w:r>
      <w:r w:rsidR="00106332" w:rsidRPr="00063A8A">
        <w:rPr>
          <w:szCs w:val="22"/>
        </w:rPr>
        <w:t>must provide written evidence of the full support of their employer, including the release from</w:t>
      </w:r>
      <w:r w:rsidR="00106332">
        <w:rPr>
          <w:szCs w:val="22"/>
        </w:rPr>
        <w:t xml:space="preserve"> normal duties to undertake their </w:t>
      </w:r>
      <w:r w:rsidR="00106332" w:rsidRPr="00063A8A">
        <w:rPr>
          <w:szCs w:val="22"/>
        </w:rPr>
        <w:t>studies and</w:t>
      </w:r>
      <w:r w:rsidR="009F7000">
        <w:rPr>
          <w:szCs w:val="22"/>
        </w:rPr>
        <w:t xml:space="preserve"> the</w:t>
      </w:r>
      <w:r w:rsidR="00106332" w:rsidRPr="00063A8A">
        <w:rPr>
          <w:szCs w:val="22"/>
        </w:rPr>
        <w:t xml:space="preserve"> participation of the</w:t>
      </w:r>
      <w:r>
        <w:rPr>
          <w:szCs w:val="22"/>
        </w:rPr>
        <w:t>ir</w:t>
      </w:r>
      <w:r w:rsidR="00106332" w:rsidRPr="00063A8A">
        <w:rPr>
          <w:szCs w:val="22"/>
        </w:rPr>
        <w:t xml:space="preserve"> line manager in the assessment process.</w:t>
      </w:r>
    </w:p>
    <w:p w:rsidR="00106332" w:rsidRDefault="006C334C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>
        <w:rPr>
          <w:szCs w:val="22"/>
        </w:rPr>
        <w:t>E</w:t>
      </w:r>
      <w:r w:rsidR="00106332">
        <w:rPr>
          <w:szCs w:val="22"/>
        </w:rPr>
        <w:t>ntrants must be able to demonstrate through their applications and interviews</w:t>
      </w:r>
      <w:r>
        <w:rPr>
          <w:szCs w:val="22"/>
        </w:rPr>
        <w:t>:</w:t>
      </w:r>
    </w:p>
    <w:p w:rsidR="00106332" w:rsidRDefault="00106332" w:rsidP="00152396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2"/>
        </w:rPr>
      </w:pPr>
      <w:r>
        <w:rPr>
          <w:szCs w:val="22"/>
        </w:rPr>
        <w:t xml:space="preserve">experience in the field of </w:t>
      </w:r>
      <w:r w:rsidR="009F7000">
        <w:rPr>
          <w:szCs w:val="22"/>
        </w:rPr>
        <w:t xml:space="preserve"> youth and work and community learning and development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playwork</w:t>
      </w:r>
      <w:proofErr w:type="spellEnd"/>
      <w:r>
        <w:rPr>
          <w:szCs w:val="22"/>
        </w:rPr>
        <w:t xml:space="preserve">, social work or a related area; </w:t>
      </w:r>
    </w:p>
    <w:p w:rsidR="00106332" w:rsidRDefault="00106332" w:rsidP="00152396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2"/>
        </w:rPr>
      </w:pPr>
      <w:r>
        <w:rPr>
          <w:szCs w:val="22"/>
        </w:rPr>
        <w:t>the ability to reflect critically upon their experience and learn from it;</w:t>
      </w:r>
    </w:p>
    <w:p w:rsidR="00106332" w:rsidRDefault="00106332" w:rsidP="00152396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2"/>
        </w:rPr>
      </w:pPr>
      <w:r>
        <w:rPr>
          <w:szCs w:val="22"/>
        </w:rPr>
        <w:t>the capacity to participate in the learning processes of the programme</w:t>
      </w:r>
    </w:p>
    <w:p w:rsidR="00106332" w:rsidRDefault="00106332" w:rsidP="00152396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2"/>
        </w:rPr>
      </w:pPr>
      <w:r>
        <w:rPr>
          <w:szCs w:val="22"/>
        </w:rPr>
        <w:t>the ability to work constructively with the experiences of others;</w:t>
      </w:r>
    </w:p>
    <w:p w:rsidR="00106332" w:rsidRDefault="00106332" w:rsidP="00152396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2"/>
        </w:rPr>
      </w:pPr>
      <w:r>
        <w:rPr>
          <w:szCs w:val="22"/>
        </w:rPr>
        <w:t>an informed commitment to work for equal opportunities and justice for all;</w:t>
      </w:r>
    </w:p>
    <w:p w:rsidR="00106332" w:rsidRDefault="00106332" w:rsidP="00152396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2"/>
        </w:rPr>
      </w:pPr>
      <w:r>
        <w:rPr>
          <w:szCs w:val="22"/>
        </w:rPr>
        <w:t>the ability to manage different aspects of their lives; and</w:t>
      </w:r>
    </w:p>
    <w:p w:rsidR="00795F14" w:rsidRDefault="00106332" w:rsidP="00152396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ability to communicate with others both face-to-face and in writing.</w:t>
      </w:r>
    </w:p>
    <w:p w:rsidR="009F7000" w:rsidRPr="00795F14" w:rsidRDefault="009F7000" w:rsidP="006A2862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 w:rsidRPr="00795F14">
        <w:rPr>
          <w:szCs w:val="22"/>
        </w:rPr>
        <w:t>In addition to these requirements, applicants must be able to demonstrate:</w:t>
      </w:r>
    </w:p>
    <w:p w:rsidR="009F7000" w:rsidRPr="00795F14" w:rsidRDefault="009F7000" w:rsidP="006A2862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2"/>
        </w:rPr>
      </w:pPr>
      <w:r w:rsidRPr="00795F14">
        <w:rPr>
          <w:szCs w:val="22"/>
        </w:rPr>
        <w:lastRenderedPageBreak/>
        <w:t>The ability to study and practice at postgraduate level. This will normally be demonstrated through the possession of a first degree (2.ii or above);</w:t>
      </w:r>
    </w:p>
    <w:p w:rsidR="009F7000" w:rsidRPr="00795F14" w:rsidRDefault="009F7000" w:rsidP="006A2862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2"/>
        </w:rPr>
      </w:pPr>
      <w:r w:rsidRPr="00795F14">
        <w:rPr>
          <w:szCs w:val="22"/>
        </w:rPr>
        <w:t>The relevance of that degree to the subject of youth and community learning and development, play work, social work or a related area;  for applicants who have substantive experience and understanding of these fields, it may be possible to allow entry if the first degree is not in a directly related field;</w:t>
      </w:r>
    </w:p>
    <w:p w:rsidR="009F7000" w:rsidRPr="00795F14" w:rsidRDefault="00795F14" w:rsidP="006A2862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60" w:line="276" w:lineRule="auto"/>
        <w:jc w:val="both"/>
        <w:textAlignment w:val="auto"/>
        <w:rPr>
          <w:szCs w:val="22"/>
        </w:rPr>
      </w:pPr>
      <w:r w:rsidRPr="00795F14">
        <w:rPr>
          <w:szCs w:val="22"/>
        </w:rPr>
        <w:t>Demonstrate that they</w:t>
      </w:r>
      <w:r w:rsidR="009F7000" w:rsidRPr="00795F14">
        <w:rPr>
          <w:szCs w:val="22"/>
        </w:rPr>
        <w:t xml:space="preserve"> are working in an appropriate practice environment to the necessary le</w:t>
      </w:r>
      <w:r w:rsidRPr="00795F14">
        <w:rPr>
          <w:szCs w:val="22"/>
        </w:rPr>
        <w:t>vel for the qualification they</w:t>
      </w:r>
      <w:r w:rsidR="009F7000" w:rsidRPr="00795F14">
        <w:rPr>
          <w:szCs w:val="22"/>
        </w:rPr>
        <w:t xml:space="preserve"> are applying for. Applicants for the qualifying route will need to work for at least 12 hours a week for the duration of the </w:t>
      </w:r>
      <w:proofErr w:type="spellStart"/>
      <w:r w:rsidR="009F7000" w:rsidRPr="00795F14">
        <w:rPr>
          <w:szCs w:val="22"/>
        </w:rPr>
        <w:t>PGDip</w:t>
      </w:r>
      <w:proofErr w:type="spellEnd"/>
      <w:r w:rsidR="009F7000" w:rsidRPr="00795F14">
        <w:rPr>
          <w:szCs w:val="22"/>
        </w:rPr>
        <w:t xml:space="preserve"> programme;</w:t>
      </w:r>
    </w:p>
    <w:p w:rsidR="00106332" w:rsidRDefault="006C334C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>
        <w:rPr>
          <w:szCs w:val="22"/>
        </w:rPr>
        <w:t>E</w:t>
      </w:r>
      <w:r w:rsidR="00106332" w:rsidRPr="00AA1802">
        <w:rPr>
          <w:szCs w:val="22"/>
        </w:rPr>
        <w:t>ntrants must satisfy the requirements concerning clearance in relation to criminal convictions and any other requirements specified by the University</w:t>
      </w:r>
      <w:r w:rsidR="000D3AC8">
        <w:rPr>
          <w:szCs w:val="22"/>
        </w:rPr>
        <w:t xml:space="preserve"> and the College</w:t>
      </w:r>
      <w:r w:rsidR="00106332" w:rsidRPr="00AA1802">
        <w:rPr>
          <w:szCs w:val="22"/>
        </w:rPr>
        <w:t>, taking account of the requirements of the regulatory bodies, in relation to the protection of vulnerable persons.</w:t>
      </w:r>
      <w:r w:rsidR="00106332">
        <w:rPr>
          <w:szCs w:val="22"/>
        </w:rPr>
        <w:t xml:space="preserve"> </w:t>
      </w:r>
      <w:r w:rsidR="00106332" w:rsidRPr="00AA1802">
        <w:rPr>
          <w:szCs w:val="22"/>
        </w:rPr>
        <w:t xml:space="preserve"> Students </w:t>
      </w:r>
      <w:r w:rsidR="00106332">
        <w:rPr>
          <w:szCs w:val="22"/>
        </w:rPr>
        <w:t xml:space="preserve">on the programme </w:t>
      </w:r>
      <w:r w:rsidR="00106332" w:rsidRPr="00AA1802">
        <w:rPr>
          <w:szCs w:val="22"/>
        </w:rPr>
        <w:t>must remain in good standing in relation to such requirements, including, where required, registration for the updating of certificates by the Disclosure and Barring Service</w:t>
      </w:r>
      <w:r w:rsidR="00106332">
        <w:rPr>
          <w:szCs w:val="22"/>
        </w:rPr>
        <w:t>.</w:t>
      </w:r>
    </w:p>
    <w:p w:rsidR="00AB5F39" w:rsidRPr="00FB5279" w:rsidRDefault="00AB5F39" w:rsidP="00152396">
      <w:pPr>
        <w:spacing w:before="240" w:after="240" w:line="276" w:lineRule="auto"/>
        <w:jc w:val="both"/>
        <w:rPr>
          <w:b/>
          <w:color w:val="000080"/>
          <w:szCs w:val="22"/>
        </w:rPr>
      </w:pPr>
      <w:r w:rsidRPr="00FB5279">
        <w:rPr>
          <w:b/>
          <w:color w:val="000080"/>
          <w:szCs w:val="22"/>
        </w:rPr>
        <w:t>ADMISSIONS</w:t>
      </w:r>
      <w:r w:rsidR="00562F74" w:rsidRPr="00FB5279">
        <w:rPr>
          <w:b/>
          <w:color w:val="000080"/>
          <w:szCs w:val="22"/>
        </w:rPr>
        <w:t xml:space="preserve"> AND SELECTION</w:t>
      </w:r>
    </w:p>
    <w:p w:rsidR="006A4626" w:rsidRDefault="00AB5F39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 w:rsidRPr="000E1128">
        <w:rPr>
          <w:szCs w:val="22"/>
        </w:rPr>
        <w:t xml:space="preserve">All </w:t>
      </w:r>
      <w:r>
        <w:rPr>
          <w:szCs w:val="22"/>
        </w:rPr>
        <w:t>short-listed applicants</w:t>
      </w:r>
      <w:r w:rsidR="00562F74">
        <w:rPr>
          <w:szCs w:val="22"/>
        </w:rPr>
        <w:t xml:space="preserve"> will be called for interview.  Details of the interview, which is part of the selection process, will </w:t>
      </w:r>
      <w:r w:rsidR="006A4626">
        <w:rPr>
          <w:szCs w:val="22"/>
        </w:rPr>
        <w:t>be made available to the potential students.</w:t>
      </w:r>
    </w:p>
    <w:p w:rsidR="006A4626" w:rsidRDefault="006A4626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>
        <w:rPr>
          <w:szCs w:val="22"/>
        </w:rPr>
        <w:t>At least two references</w:t>
      </w:r>
      <w:r w:rsidR="001838A1">
        <w:rPr>
          <w:szCs w:val="22"/>
        </w:rPr>
        <w:t>, one academic and one practice-based, will normally be required before an offer of a place is made.</w:t>
      </w:r>
    </w:p>
    <w:p w:rsidR="006C334C" w:rsidRDefault="00FB5279" w:rsidP="00152396">
      <w:pPr>
        <w:spacing w:after="120" w:line="276" w:lineRule="auto"/>
        <w:jc w:val="both"/>
        <w:rPr>
          <w:b/>
          <w:color w:val="000080"/>
          <w:szCs w:val="22"/>
        </w:rPr>
      </w:pPr>
      <w:r w:rsidRPr="00FB5279">
        <w:rPr>
          <w:b/>
          <w:color w:val="000080"/>
          <w:szCs w:val="22"/>
        </w:rPr>
        <w:t xml:space="preserve">PROFESSIONAL </w:t>
      </w:r>
      <w:r w:rsidR="006C334C" w:rsidRPr="00FB5279">
        <w:rPr>
          <w:b/>
          <w:color w:val="000080"/>
          <w:szCs w:val="22"/>
        </w:rPr>
        <w:t>ATTENDANCE REQUIREMENTS</w:t>
      </w:r>
    </w:p>
    <w:p w:rsidR="00623DFE" w:rsidRPr="005055DD" w:rsidRDefault="00623DFE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 w:rsidRPr="005055DD">
        <w:rPr>
          <w:szCs w:val="22"/>
        </w:rPr>
        <w:t>Students on the qualifying route of the Post Graduate Diploma must successfully meet the requirements concerning attendance and professional practice.</w:t>
      </w:r>
    </w:p>
    <w:p w:rsidR="00623DFE" w:rsidRPr="006A2862" w:rsidRDefault="00623DFE" w:rsidP="006A2862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 w:rsidRPr="00623DFE">
        <w:rPr>
          <w:szCs w:val="22"/>
        </w:rPr>
        <w:t>These</w:t>
      </w:r>
      <w:r>
        <w:rPr>
          <w:szCs w:val="22"/>
        </w:rPr>
        <w:t xml:space="preserve"> s</w:t>
      </w:r>
      <w:r w:rsidR="006C334C" w:rsidRPr="00623DFE">
        <w:rPr>
          <w:szCs w:val="22"/>
        </w:rPr>
        <w:t>tudents must engage in 592 hours of approved professional practice hours of which 296 hours must be with young people aged 13 – 19 years.</w:t>
      </w:r>
    </w:p>
    <w:p w:rsidR="00623DFE" w:rsidRPr="005055DD" w:rsidRDefault="00623DFE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 w:rsidRPr="005055DD">
        <w:rPr>
          <w:szCs w:val="22"/>
        </w:rPr>
        <w:t xml:space="preserve">All students must attend a minimum of 80% of all College-based sessions. In mitigating circumstances students may fulfil the attendance requirement with 70% attendance. </w:t>
      </w:r>
    </w:p>
    <w:p w:rsidR="00623DFE" w:rsidRPr="005055DD" w:rsidRDefault="00623DFE" w:rsidP="00152396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 w:rsidRPr="005055DD">
        <w:rPr>
          <w:szCs w:val="22"/>
        </w:rPr>
        <w:t>The attendance requirement for professional practice is 100%.  Normally there is no mitigation for not meeting the attendance requirement for professional practice.</w:t>
      </w:r>
    </w:p>
    <w:p w:rsidR="00EF0133" w:rsidRPr="00FA5D3B" w:rsidRDefault="006A2862" w:rsidP="006A2862">
      <w:p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2"/>
        </w:rPr>
      </w:pPr>
      <w:r>
        <w:rPr>
          <w:szCs w:val="22"/>
        </w:rPr>
        <w:t xml:space="preserve">Approved by </w:t>
      </w:r>
      <w:bookmarkStart w:id="0" w:name="_GoBack"/>
      <w:bookmarkEnd w:id="0"/>
      <w:r w:rsidR="00A1108D" w:rsidRPr="00FB5279">
        <w:rPr>
          <w:szCs w:val="22"/>
        </w:rPr>
        <w:t>Academic Board, on</w:t>
      </w:r>
      <w:r w:rsidR="00C63511" w:rsidRPr="00FB5279">
        <w:rPr>
          <w:szCs w:val="22"/>
        </w:rPr>
        <w:t xml:space="preserve"> </w:t>
      </w:r>
      <w:r w:rsidR="00634AAA">
        <w:rPr>
          <w:szCs w:val="22"/>
        </w:rPr>
        <w:t>10 September 2012.</w:t>
      </w:r>
      <w:r w:rsidR="00C63511" w:rsidRPr="00FB5279">
        <w:rPr>
          <w:szCs w:val="22"/>
        </w:rPr>
        <w:t xml:space="preserve"> </w:t>
      </w:r>
    </w:p>
    <w:p w:rsidR="00FB5279" w:rsidRDefault="00FB5279" w:rsidP="0015239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0"/>
        </w:rPr>
      </w:pPr>
    </w:p>
    <w:sectPr w:rsidR="00FB5279" w:rsidSect="0007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48" w:rsidRDefault="00F50648" w:rsidP="00072735">
      <w:r>
        <w:separator/>
      </w:r>
    </w:p>
  </w:endnote>
  <w:endnote w:type="continuationSeparator" w:id="0">
    <w:p w:rsidR="00F50648" w:rsidRDefault="00F50648" w:rsidP="000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F1" w:rsidRDefault="00696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F1" w:rsidRDefault="006968F1" w:rsidP="006968F1">
    <w:pPr>
      <w:pStyle w:val="Footer"/>
      <w:jc w:val="center"/>
    </w:pPr>
    <w:r>
      <w:t xml:space="preserve">Page </w:t>
    </w:r>
    <w:r w:rsidR="009358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35850">
      <w:rPr>
        <w:rStyle w:val="PageNumber"/>
      </w:rPr>
      <w:fldChar w:fldCharType="separate"/>
    </w:r>
    <w:r w:rsidR="006A2862">
      <w:rPr>
        <w:rStyle w:val="PageNumber"/>
        <w:noProof/>
      </w:rPr>
      <w:t>1</w:t>
    </w:r>
    <w:r w:rsidR="0093585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F1" w:rsidRDefault="00696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48" w:rsidRDefault="00F50648" w:rsidP="00072735">
      <w:r>
        <w:separator/>
      </w:r>
    </w:p>
  </w:footnote>
  <w:footnote w:type="continuationSeparator" w:id="0">
    <w:p w:rsidR="00F50648" w:rsidRDefault="00F50648" w:rsidP="0007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F1" w:rsidRDefault="00696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F1" w:rsidRDefault="006968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F1" w:rsidRDefault="00696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9CAD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34BC6"/>
    <w:multiLevelType w:val="multilevel"/>
    <w:tmpl w:val="FFE6C3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FD3842"/>
    <w:multiLevelType w:val="multilevel"/>
    <w:tmpl w:val="29F29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B27963"/>
    <w:multiLevelType w:val="hybridMultilevel"/>
    <w:tmpl w:val="2E18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3EEF"/>
    <w:multiLevelType w:val="hybridMultilevel"/>
    <w:tmpl w:val="1F928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61D11"/>
    <w:multiLevelType w:val="hybridMultilevel"/>
    <w:tmpl w:val="A2D08826"/>
    <w:lvl w:ilvl="0" w:tplc="883AB84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C6545"/>
    <w:multiLevelType w:val="hybridMultilevel"/>
    <w:tmpl w:val="AF3C47BA"/>
    <w:lvl w:ilvl="0" w:tplc="6144F26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B0D4174"/>
    <w:multiLevelType w:val="hybridMultilevel"/>
    <w:tmpl w:val="20CC9D6C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144F26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7F163C"/>
    <w:multiLevelType w:val="hybridMultilevel"/>
    <w:tmpl w:val="A052EA0A"/>
    <w:lvl w:ilvl="0" w:tplc="66EA7A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B"/>
    <w:rsid w:val="00022183"/>
    <w:rsid w:val="000227CC"/>
    <w:rsid w:val="00072735"/>
    <w:rsid w:val="000B6F13"/>
    <w:rsid w:val="000D3AC8"/>
    <w:rsid w:val="000D4797"/>
    <w:rsid w:val="000E1128"/>
    <w:rsid w:val="000E6996"/>
    <w:rsid w:val="000F3E2D"/>
    <w:rsid w:val="00106332"/>
    <w:rsid w:val="0013086C"/>
    <w:rsid w:val="001326C3"/>
    <w:rsid w:val="00152396"/>
    <w:rsid w:val="00156EB5"/>
    <w:rsid w:val="001838A1"/>
    <w:rsid w:val="001903CB"/>
    <w:rsid w:val="001A400D"/>
    <w:rsid w:val="001C042D"/>
    <w:rsid w:val="001D3095"/>
    <w:rsid w:val="001E2785"/>
    <w:rsid w:val="0022687B"/>
    <w:rsid w:val="0026613B"/>
    <w:rsid w:val="00316641"/>
    <w:rsid w:val="00323C77"/>
    <w:rsid w:val="0034003D"/>
    <w:rsid w:val="00421E98"/>
    <w:rsid w:val="00457586"/>
    <w:rsid w:val="004B1B1A"/>
    <w:rsid w:val="004F66D0"/>
    <w:rsid w:val="005055DD"/>
    <w:rsid w:val="00562F74"/>
    <w:rsid w:val="005A4806"/>
    <w:rsid w:val="006030B2"/>
    <w:rsid w:val="00623DFE"/>
    <w:rsid w:val="00626151"/>
    <w:rsid w:val="00634AAA"/>
    <w:rsid w:val="006968F1"/>
    <w:rsid w:val="00697E24"/>
    <w:rsid w:val="006A2862"/>
    <w:rsid w:val="006A4626"/>
    <w:rsid w:val="006C334C"/>
    <w:rsid w:val="00715017"/>
    <w:rsid w:val="00726F57"/>
    <w:rsid w:val="007321DE"/>
    <w:rsid w:val="00763981"/>
    <w:rsid w:val="00776BAE"/>
    <w:rsid w:val="00795F14"/>
    <w:rsid w:val="007F3180"/>
    <w:rsid w:val="00811192"/>
    <w:rsid w:val="008322D0"/>
    <w:rsid w:val="008453FD"/>
    <w:rsid w:val="00874F92"/>
    <w:rsid w:val="00882E5C"/>
    <w:rsid w:val="008E21B3"/>
    <w:rsid w:val="008E5264"/>
    <w:rsid w:val="008F41B8"/>
    <w:rsid w:val="00912B51"/>
    <w:rsid w:val="00935009"/>
    <w:rsid w:val="00935850"/>
    <w:rsid w:val="00947BE1"/>
    <w:rsid w:val="00955734"/>
    <w:rsid w:val="009A326A"/>
    <w:rsid w:val="009D162A"/>
    <w:rsid w:val="009E5151"/>
    <w:rsid w:val="009E6AD1"/>
    <w:rsid w:val="009F7000"/>
    <w:rsid w:val="00A1108D"/>
    <w:rsid w:val="00A1779D"/>
    <w:rsid w:val="00A67A64"/>
    <w:rsid w:val="00AB5F39"/>
    <w:rsid w:val="00AE6E04"/>
    <w:rsid w:val="00AF09F1"/>
    <w:rsid w:val="00B321D4"/>
    <w:rsid w:val="00B93486"/>
    <w:rsid w:val="00BB72F7"/>
    <w:rsid w:val="00BF4781"/>
    <w:rsid w:val="00C26BCE"/>
    <w:rsid w:val="00C63511"/>
    <w:rsid w:val="00C93993"/>
    <w:rsid w:val="00DA75BB"/>
    <w:rsid w:val="00DB5D30"/>
    <w:rsid w:val="00E30B9C"/>
    <w:rsid w:val="00E42E42"/>
    <w:rsid w:val="00E55767"/>
    <w:rsid w:val="00EC2E87"/>
    <w:rsid w:val="00EE70B2"/>
    <w:rsid w:val="00EF0133"/>
    <w:rsid w:val="00EF7138"/>
    <w:rsid w:val="00F35A9A"/>
    <w:rsid w:val="00F50648"/>
    <w:rsid w:val="00F55B73"/>
    <w:rsid w:val="00F85D29"/>
    <w:rsid w:val="00F87E09"/>
    <w:rsid w:val="00FA5D3B"/>
    <w:rsid w:val="00FA6F26"/>
    <w:rsid w:val="00F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E6996"/>
    <w:pPr>
      <w:keepNext/>
      <w:spacing w:before="120" w:after="120"/>
      <w:jc w:val="both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1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613B"/>
    <w:rPr>
      <w:rFonts w:ascii="Humnst777 BT" w:eastAsia="Times New Roman" w:hAnsi="Humnst777 B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2661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613B"/>
    <w:rPr>
      <w:rFonts w:ascii="Humnst777 BT" w:eastAsia="Times New Roman" w:hAnsi="Humnst777 BT" w:cs="Times New Roman"/>
      <w:szCs w:val="20"/>
      <w:lang w:eastAsia="en-GB"/>
    </w:rPr>
  </w:style>
  <w:style w:type="character" w:styleId="PageNumber">
    <w:name w:val="page number"/>
    <w:basedOn w:val="DefaultParagraphFont"/>
    <w:rsid w:val="0026613B"/>
  </w:style>
  <w:style w:type="paragraph" w:styleId="ListParagraph">
    <w:name w:val="List Paragraph"/>
    <w:basedOn w:val="Normal"/>
    <w:uiPriority w:val="34"/>
    <w:qFormat/>
    <w:rsid w:val="00EC2E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E6996"/>
    <w:rPr>
      <w:rFonts w:ascii="Humnst777 BT" w:eastAsia="Times New Roman" w:hAnsi="Humnst777 BT" w:cs="Times New Roman"/>
      <w:b/>
      <w:lang w:eastAsia="en-GB"/>
    </w:rPr>
  </w:style>
  <w:style w:type="character" w:styleId="CommentReference">
    <w:name w:val="annotation reference"/>
    <w:basedOn w:val="DefaultParagraphFont"/>
    <w:rsid w:val="000E69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9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6996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96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26"/>
    <w:rPr>
      <w:rFonts w:ascii="Humnst777 BT" w:eastAsia="Times New Roman" w:hAnsi="Humnst777 BT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F7000"/>
    <w:pPr>
      <w:spacing w:after="0" w:line="240" w:lineRule="auto"/>
    </w:pPr>
    <w:rPr>
      <w:rFonts w:ascii="Humnst777 BT" w:eastAsia="Times New Roman" w:hAnsi="Humnst777 BT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E6996"/>
    <w:pPr>
      <w:keepNext/>
      <w:spacing w:before="120" w:after="120"/>
      <w:jc w:val="both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1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613B"/>
    <w:rPr>
      <w:rFonts w:ascii="Humnst777 BT" w:eastAsia="Times New Roman" w:hAnsi="Humnst777 B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2661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613B"/>
    <w:rPr>
      <w:rFonts w:ascii="Humnst777 BT" w:eastAsia="Times New Roman" w:hAnsi="Humnst777 BT" w:cs="Times New Roman"/>
      <w:szCs w:val="20"/>
      <w:lang w:eastAsia="en-GB"/>
    </w:rPr>
  </w:style>
  <w:style w:type="character" w:styleId="PageNumber">
    <w:name w:val="page number"/>
    <w:basedOn w:val="DefaultParagraphFont"/>
    <w:rsid w:val="0026613B"/>
  </w:style>
  <w:style w:type="paragraph" w:styleId="ListParagraph">
    <w:name w:val="List Paragraph"/>
    <w:basedOn w:val="Normal"/>
    <w:uiPriority w:val="34"/>
    <w:qFormat/>
    <w:rsid w:val="00EC2E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E6996"/>
    <w:rPr>
      <w:rFonts w:ascii="Humnst777 BT" w:eastAsia="Times New Roman" w:hAnsi="Humnst777 BT" w:cs="Times New Roman"/>
      <w:b/>
      <w:lang w:eastAsia="en-GB"/>
    </w:rPr>
  </w:style>
  <w:style w:type="character" w:styleId="CommentReference">
    <w:name w:val="annotation reference"/>
    <w:basedOn w:val="DefaultParagraphFont"/>
    <w:rsid w:val="000E69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9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6996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96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26"/>
    <w:rPr>
      <w:rFonts w:ascii="Humnst777 BT" w:eastAsia="Times New Roman" w:hAnsi="Humnst777 BT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F7000"/>
    <w:pPr>
      <w:spacing w:after="0" w:line="240" w:lineRule="auto"/>
    </w:pPr>
    <w:rPr>
      <w:rFonts w:ascii="Humnst777 BT" w:eastAsia="Times New Roman" w:hAnsi="Humnst777 B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F60E-1108-455A-AC32-0B155C6C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BE4E9646</Template>
  <TotalTime>15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sc313</cp:lastModifiedBy>
  <cp:revision>5</cp:revision>
  <cp:lastPrinted>2012-04-18T08:31:00Z</cp:lastPrinted>
  <dcterms:created xsi:type="dcterms:W3CDTF">2012-05-14T21:08:00Z</dcterms:created>
  <dcterms:modified xsi:type="dcterms:W3CDTF">2014-01-03T12:15:00Z</dcterms:modified>
</cp:coreProperties>
</file>