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36517" w14:textId="132B72C8" w:rsidR="003F5EE7" w:rsidRDefault="008D459C" w:rsidP="00804DC9">
      <w:pPr>
        <w:spacing w:line="276" w:lineRule="auto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SPECIAL REGULATIONS: MSC HEALTH AND WELLBEING</w:t>
      </w:r>
    </w:p>
    <w:p w14:paraId="4F67C5A8" w14:textId="77777777" w:rsidR="00B745AC" w:rsidRDefault="00B745AC" w:rsidP="00804DC9">
      <w:pPr>
        <w:spacing w:line="276" w:lineRule="auto"/>
        <w:jc w:val="center"/>
        <w:rPr>
          <w:color w:val="1F497D" w:themeColor="text2"/>
        </w:rPr>
      </w:pPr>
    </w:p>
    <w:p w14:paraId="57B9F69A" w14:textId="77777777" w:rsidR="003F5EE7" w:rsidRPr="00053FFB" w:rsidRDefault="003F5EE7" w:rsidP="00804DC9">
      <w:pPr>
        <w:spacing w:line="276" w:lineRule="auto"/>
        <w:jc w:val="both"/>
        <w:rPr>
          <w:color w:val="1F497D" w:themeColor="text2"/>
        </w:rPr>
      </w:pPr>
      <w:r w:rsidRPr="00053FFB">
        <w:rPr>
          <w:b/>
          <w:color w:val="1F497D" w:themeColor="text2"/>
        </w:rPr>
        <w:t>INTRODUCTION</w:t>
      </w:r>
    </w:p>
    <w:p w14:paraId="14364438" w14:textId="27BADDEA" w:rsidR="003F5EE7" w:rsidRDefault="00FB6509" w:rsidP="00804DC9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Cs/>
        </w:rPr>
      </w:pPr>
      <w:r>
        <w:rPr>
          <w:bCs/>
        </w:rPr>
        <w:t>These special r</w:t>
      </w:r>
      <w:r w:rsidR="003F5EE7">
        <w:rPr>
          <w:bCs/>
        </w:rPr>
        <w:t>egulations enable the following awards to be made.</w:t>
      </w:r>
    </w:p>
    <w:p w14:paraId="46891124" w14:textId="582DD239" w:rsidR="00A350BC" w:rsidRDefault="00A350BC" w:rsidP="00804DC9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A350BC">
        <w:rPr>
          <w:bCs/>
        </w:rPr>
        <w:t>MSc Health and Wellbeing (Negotiated Endorsement)</w:t>
      </w:r>
      <w:r w:rsidRPr="00A350BC">
        <w:t xml:space="preserve"> </w:t>
      </w:r>
    </w:p>
    <w:p w14:paraId="4FD86682" w14:textId="57EBC9FA" w:rsidR="00A350BC" w:rsidRPr="00A350BC" w:rsidRDefault="00A350BC" w:rsidP="00804DC9">
      <w:pPr>
        <w:numPr>
          <w:ilvl w:val="1"/>
          <w:numId w:val="1"/>
        </w:numPr>
        <w:spacing w:line="276" w:lineRule="auto"/>
        <w:jc w:val="both"/>
        <w:rPr>
          <w:bCs/>
        </w:rPr>
      </w:pPr>
      <w:r w:rsidRPr="00A350BC">
        <w:rPr>
          <w:bCs/>
        </w:rPr>
        <w:t xml:space="preserve">Postgraduate Diploma Health and Wellbeing </w:t>
      </w:r>
    </w:p>
    <w:p w14:paraId="34450580" w14:textId="2E68B59A" w:rsidR="00A350BC" w:rsidRPr="00A350BC" w:rsidRDefault="00A350BC" w:rsidP="00804DC9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 w:rsidRPr="00A350BC">
        <w:rPr>
          <w:bCs/>
        </w:rPr>
        <w:t xml:space="preserve">Postgraduate Certificate Health and Wellbeing </w:t>
      </w:r>
    </w:p>
    <w:p w14:paraId="28F43896" w14:textId="77777777" w:rsidR="00804DC9" w:rsidRDefault="00804DC9" w:rsidP="00804DC9">
      <w:pPr>
        <w:spacing w:line="276" w:lineRule="auto"/>
        <w:ind w:left="360"/>
        <w:jc w:val="both"/>
        <w:rPr>
          <w:bCs/>
        </w:rPr>
      </w:pPr>
    </w:p>
    <w:p w14:paraId="7332D3CC" w14:textId="27507CD8" w:rsidR="00053FFB" w:rsidRDefault="00053FFB" w:rsidP="00804DC9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Due to the work</w:t>
      </w:r>
      <w:r w:rsidR="00A350BC">
        <w:rPr>
          <w:bCs/>
        </w:rPr>
        <w:t xml:space="preserve"> related</w:t>
      </w:r>
      <w:r>
        <w:rPr>
          <w:bCs/>
        </w:rPr>
        <w:t xml:space="preserve"> nature of </w:t>
      </w:r>
      <w:r w:rsidR="00A350BC">
        <w:rPr>
          <w:bCs/>
        </w:rPr>
        <w:t>this programme; students</w:t>
      </w:r>
      <w:r>
        <w:rPr>
          <w:bCs/>
        </w:rPr>
        <w:t xml:space="preserve"> taking the same set of modules may be awarded a different endorsement to their award provided that it is approved in advance by the Negotiated </w:t>
      </w:r>
      <w:r w:rsidR="0090222B">
        <w:rPr>
          <w:bCs/>
        </w:rPr>
        <w:t xml:space="preserve">Endorsement </w:t>
      </w:r>
      <w:r>
        <w:rPr>
          <w:bCs/>
        </w:rPr>
        <w:t>Panel and subsequently confirmed by the Board of Examiners.</w:t>
      </w:r>
      <w:r w:rsidR="00B3516A">
        <w:rPr>
          <w:bCs/>
        </w:rPr>
        <w:t xml:space="preserve"> </w:t>
      </w:r>
      <w:r w:rsidR="00A350BC">
        <w:rPr>
          <w:bCs/>
        </w:rPr>
        <w:t xml:space="preserve"> </w:t>
      </w:r>
      <w:r w:rsidR="00B3516A">
        <w:rPr>
          <w:bCs/>
        </w:rPr>
        <w:t>Named endorsements will be permitted for the</w:t>
      </w:r>
      <w:r w:rsidR="00804DC9">
        <w:rPr>
          <w:bCs/>
        </w:rPr>
        <w:t xml:space="preserve"> </w:t>
      </w:r>
      <w:proofErr w:type="spellStart"/>
      <w:r w:rsidR="00804DC9">
        <w:rPr>
          <w:bCs/>
        </w:rPr>
        <w:t>PgC</w:t>
      </w:r>
      <w:proofErr w:type="spellEnd"/>
      <w:r w:rsidR="00804DC9">
        <w:rPr>
          <w:bCs/>
        </w:rPr>
        <w:t xml:space="preserve">, </w:t>
      </w:r>
      <w:proofErr w:type="spellStart"/>
      <w:r w:rsidR="00804DC9">
        <w:rPr>
          <w:bCs/>
        </w:rPr>
        <w:t>PgD</w:t>
      </w:r>
      <w:proofErr w:type="spellEnd"/>
      <w:r w:rsidR="00804DC9">
        <w:rPr>
          <w:bCs/>
        </w:rPr>
        <w:t xml:space="preserve"> and</w:t>
      </w:r>
      <w:r w:rsidR="00A350BC" w:rsidRPr="00A350BC">
        <w:t xml:space="preserve"> </w:t>
      </w:r>
      <w:r w:rsidR="00A350BC" w:rsidRPr="00A350BC">
        <w:rPr>
          <w:bCs/>
        </w:rPr>
        <w:t>MSc Health and Wellbeing</w:t>
      </w:r>
      <w:r w:rsidR="00A350BC">
        <w:rPr>
          <w:bCs/>
        </w:rPr>
        <w:t xml:space="preserve"> award</w:t>
      </w:r>
      <w:r w:rsidR="00804DC9">
        <w:rPr>
          <w:bCs/>
        </w:rPr>
        <w:t>s</w:t>
      </w:r>
      <w:r w:rsidR="00B3516A">
        <w:rPr>
          <w:bCs/>
        </w:rPr>
        <w:t>.</w:t>
      </w:r>
    </w:p>
    <w:p w14:paraId="545B978F" w14:textId="77777777" w:rsidR="00804DC9" w:rsidRDefault="00804DC9" w:rsidP="00804DC9">
      <w:pPr>
        <w:spacing w:line="276" w:lineRule="auto"/>
        <w:jc w:val="both"/>
        <w:rPr>
          <w:b/>
          <w:bCs/>
          <w:color w:val="1F497D" w:themeColor="text2"/>
        </w:rPr>
      </w:pPr>
    </w:p>
    <w:p w14:paraId="2706388C" w14:textId="1E022BEB" w:rsidR="003F5EE7" w:rsidRDefault="003F5EE7" w:rsidP="00804DC9">
      <w:pPr>
        <w:spacing w:line="276" w:lineRule="auto"/>
        <w:jc w:val="both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ADMISSION</w:t>
      </w:r>
    </w:p>
    <w:p w14:paraId="34B421C3" w14:textId="3DBD57EC" w:rsidR="003F5EE7" w:rsidRPr="00804DC9" w:rsidRDefault="003F5EE7" w:rsidP="00804DC9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cs="Arial"/>
          <w:bCs/>
          <w:i/>
          <w:color w:val="FF6600"/>
          <w:szCs w:val="28"/>
        </w:rPr>
      </w:pPr>
      <w:r>
        <w:t xml:space="preserve">The </w:t>
      </w:r>
      <w:r w:rsidR="008F390A">
        <w:t>standard</w:t>
      </w:r>
      <w:r>
        <w:t xml:space="preserve"> </w:t>
      </w:r>
      <w:r w:rsidR="00C87BD2">
        <w:t>Postgraduate</w:t>
      </w:r>
      <w:r>
        <w:t xml:space="preserve"> Entry Requirements do not apply</w:t>
      </w:r>
      <w:r w:rsidR="00F26EC7">
        <w:t xml:space="preserve">.  </w:t>
      </w:r>
      <w:r>
        <w:t xml:space="preserve">The following requirements apply to programmes </w:t>
      </w:r>
      <w:r w:rsidR="008F390A">
        <w:t>governed by these Special Regulations</w:t>
      </w:r>
      <w:r>
        <w:t xml:space="preserve">. </w:t>
      </w:r>
    </w:p>
    <w:p w14:paraId="23E2D31A" w14:textId="77777777" w:rsidR="00804DC9" w:rsidRDefault="00804DC9" w:rsidP="00804DC9">
      <w:pPr>
        <w:spacing w:line="276" w:lineRule="auto"/>
        <w:ind w:left="360"/>
        <w:jc w:val="both"/>
        <w:rPr>
          <w:rFonts w:cs="Arial"/>
          <w:bCs/>
          <w:i/>
          <w:color w:val="FF6600"/>
          <w:szCs w:val="28"/>
        </w:rPr>
      </w:pPr>
    </w:p>
    <w:p w14:paraId="7AF237D9" w14:textId="59E048B0" w:rsidR="00C87BD2" w:rsidRDefault="00C87BD2" w:rsidP="00804DC9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Cs/>
        </w:rPr>
      </w:pPr>
      <w:r w:rsidRPr="00AA6838">
        <w:rPr>
          <w:bCs/>
        </w:rPr>
        <w:t>Entrants are normally required to be working either as an employee or as a volunteer in the field of practice relevant to their proposed study or have sufficient access to it to support their studies</w:t>
      </w:r>
      <w:r w:rsidRPr="00AA6838">
        <w:t xml:space="preserve"> and meet the learning outcomes from their chosen programme</w:t>
      </w:r>
      <w:r w:rsidRPr="00AA6838">
        <w:rPr>
          <w:bCs/>
        </w:rPr>
        <w:t>.</w:t>
      </w:r>
    </w:p>
    <w:p w14:paraId="0C516155" w14:textId="4178C654" w:rsidR="00804DC9" w:rsidRPr="00AA6838" w:rsidRDefault="00804DC9" w:rsidP="00804DC9">
      <w:pPr>
        <w:spacing w:line="276" w:lineRule="auto"/>
        <w:jc w:val="both"/>
        <w:rPr>
          <w:bCs/>
        </w:rPr>
      </w:pPr>
    </w:p>
    <w:p w14:paraId="43E572E9" w14:textId="3204ACB6" w:rsidR="00C87BD2" w:rsidRPr="00AA6838" w:rsidRDefault="00C87BD2" w:rsidP="00804DC9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AA6838">
        <w:rPr>
          <w:bCs/>
        </w:rPr>
        <w:t xml:space="preserve">Entrants are typically required </w:t>
      </w:r>
      <w:r w:rsidR="008D459C" w:rsidRPr="00AA6838">
        <w:rPr>
          <w:bCs/>
        </w:rPr>
        <w:t>to</w:t>
      </w:r>
      <w:r w:rsidRPr="00AA6838">
        <w:rPr>
          <w:bCs/>
        </w:rPr>
        <w:t xml:space="preserve">: </w:t>
      </w:r>
    </w:p>
    <w:p w14:paraId="54763800" w14:textId="1E94971B" w:rsidR="00C87BD2" w:rsidRPr="00AA6838" w:rsidRDefault="00AA6838" w:rsidP="00804DC9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bCs/>
        </w:rPr>
      </w:pPr>
      <w:r w:rsidRPr="00AA6838">
        <w:rPr>
          <w:bCs/>
        </w:rPr>
        <w:t xml:space="preserve">Hold </w:t>
      </w:r>
      <w:r w:rsidR="00C87BD2" w:rsidRPr="00AA6838">
        <w:rPr>
          <w:bCs/>
        </w:rPr>
        <w:t>a relevant first degree in health/ social sciences</w:t>
      </w:r>
    </w:p>
    <w:p w14:paraId="564F2C4B" w14:textId="77777777" w:rsidR="00C87BD2" w:rsidRPr="00AA6838" w:rsidRDefault="00C87BD2" w:rsidP="00804DC9">
      <w:pPr>
        <w:pStyle w:val="ListParagraph"/>
        <w:tabs>
          <w:tab w:val="left" w:pos="360"/>
        </w:tabs>
        <w:spacing w:line="276" w:lineRule="auto"/>
        <w:ind w:left="1080"/>
        <w:jc w:val="both"/>
        <w:rPr>
          <w:bCs/>
        </w:rPr>
      </w:pPr>
      <w:r w:rsidRPr="00AA6838">
        <w:rPr>
          <w:bCs/>
        </w:rPr>
        <w:t>or</w:t>
      </w:r>
    </w:p>
    <w:p w14:paraId="13DCCDC7" w14:textId="0BEBCCF6" w:rsidR="00C87BD2" w:rsidRDefault="00AA6838" w:rsidP="00804DC9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bCs/>
        </w:rPr>
      </w:pPr>
      <w:r w:rsidRPr="00AA6838">
        <w:rPr>
          <w:bCs/>
        </w:rPr>
        <w:t xml:space="preserve">Hold </w:t>
      </w:r>
      <w:r w:rsidR="00C87BD2" w:rsidRPr="00AA6838">
        <w:rPr>
          <w:bCs/>
        </w:rPr>
        <w:t xml:space="preserve">a professional registration to practice in health and/or social care or equivalent </w:t>
      </w:r>
    </w:p>
    <w:p w14:paraId="7022A0B4" w14:textId="77777777" w:rsidR="00804DC9" w:rsidRPr="00804DC9" w:rsidRDefault="00804DC9" w:rsidP="00804DC9">
      <w:pPr>
        <w:tabs>
          <w:tab w:val="left" w:pos="360"/>
        </w:tabs>
        <w:spacing w:line="276" w:lineRule="auto"/>
        <w:ind w:left="720"/>
        <w:jc w:val="both"/>
        <w:rPr>
          <w:bCs/>
        </w:rPr>
      </w:pPr>
    </w:p>
    <w:p w14:paraId="55E2E711" w14:textId="609AAD6F" w:rsidR="00C87BD2" w:rsidRDefault="00AA6838" w:rsidP="00804DC9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Cs/>
        </w:rPr>
      </w:pPr>
      <w:r w:rsidRPr="00AA6838">
        <w:rPr>
          <w:bCs/>
        </w:rPr>
        <w:t>Consideration will also be given to e</w:t>
      </w:r>
      <w:r w:rsidR="00C87BD2" w:rsidRPr="00AA6838">
        <w:rPr>
          <w:bCs/>
        </w:rPr>
        <w:t>ntrants with other first degrees and non-professionally registered specialists, who can demonstrate the relevance of the award to their professional and career development.</w:t>
      </w:r>
    </w:p>
    <w:p w14:paraId="28FC77A2" w14:textId="77777777" w:rsidR="00804DC9" w:rsidRPr="00AA6838" w:rsidRDefault="00804DC9" w:rsidP="00804DC9">
      <w:pPr>
        <w:spacing w:line="276" w:lineRule="auto"/>
        <w:ind w:left="360"/>
        <w:jc w:val="both"/>
        <w:rPr>
          <w:bCs/>
        </w:rPr>
      </w:pPr>
    </w:p>
    <w:p w14:paraId="6A06FCFF" w14:textId="4F1DE460" w:rsidR="00580BD7" w:rsidRPr="00804DC9" w:rsidRDefault="00580BD7" w:rsidP="00804DC9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cs="Arial"/>
          <w:bCs/>
          <w:i/>
          <w:szCs w:val="28"/>
        </w:rPr>
      </w:pPr>
      <w:r w:rsidRPr="00B3516A">
        <w:rPr>
          <w:rFonts w:cs="Arial"/>
          <w:bCs/>
          <w:szCs w:val="28"/>
        </w:rPr>
        <w:t xml:space="preserve">Where students are transferring credit which </w:t>
      </w:r>
      <w:r w:rsidR="00B3516A" w:rsidRPr="00B3516A">
        <w:rPr>
          <w:rFonts w:cs="Arial"/>
          <w:bCs/>
          <w:szCs w:val="28"/>
        </w:rPr>
        <w:t>has been accrued within the previous five years</w:t>
      </w:r>
      <w:r w:rsidRPr="00B3516A">
        <w:rPr>
          <w:rFonts w:cs="Arial"/>
          <w:bCs/>
          <w:szCs w:val="28"/>
        </w:rPr>
        <w:t xml:space="preserve"> from the University of Brighton, University of Greenwich or the University of Surrey the mark awarded will appear on their transcript.</w:t>
      </w:r>
    </w:p>
    <w:p w14:paraId="48CF05ED" w14:textId="73103AC4" w:rsidR="00804DC9" w:rsidRPr="00B3516A" w:rsidRDefault="00804DC9" w:rsidP="00804DC9">
      <w:pPr>
        <w:spacing w:line="276" w:lineRule="auto"/>
        <w:jc w:val="both"/>
        <w:rPr>
          <w:rFonts w:cs="Arial"/>
          <w:bCs/>
          <w:i/>
          <w:szCs w:val="28"/>
        </w:rPr>
      </w:pPr>
    </w:p>
    <w:p w14:paraId="33B81D6C" w14:textId="3921262B" w:rsidR="003F5EE7" w:rsidRDefault="003F5EE7" w:rsidP="00804DC9">
      <w:pPr>
        <w:keepNext/>
        <w:spacing w:line="276" w:lineRule="auto"/>
        <w:jc w:val="both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INDIVIDUAL MODULES</w:t>
      </w:r>
    </w:p>
    <w:p w14:paraId="394D92D3" w14:textId="475989CE" w:rsidR="003F5EE7" w:rsidRPr="00804DC9" w:rsidRDefault="003F5EE7" w:rsidP="00804DC9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cs="Arial"/>
          <w:bCs/>
          <w:i/>
          <w:color w:val="FF6600"/>
          <w:szCs w:val="28"/>
        </w:rPr>
      </w:pPr>
      <w:r>
        <w:t>A student may register for one or more individual modules without registering for an award bearing programme, subject to meeting the entry requirements of the</w:t>
      </w:r>
      <w:r w:rsidR="004772A1">
        <w:t xml:space="preserve"> </w:t>
      </w:r>
      <w:r w:rsidR="00C1364D">
        <w:t>programme</w:t>
      </w:r>
      <w:r>
        <w:t xml:space="preserve">. </w:t>
      </w:r>
      <w:r>
        <w:rPr>
          <w:rFonts w:cs="Courier New"/>
        </w:rPr>
        <w:t xml:space="preserve">The student must meet any prerequisites for the particular module. </w:t>
      </w:r>
    </w:p>
    <w:p w14:paraId="51087DD3" w14:textId="77777777" w:rsidR="00804DC9" w:rsidRDefault="00804DC9" w:rsidP="00804DC9">
      <w:pPr>
        <w:spacing w:line="276" w:lineRule="auto"/>
        <w:ind w:left="360"/>
        <w:jc w:val="both"/>
        <w:rPr>
          <w:rFonts w:cs="Arial"/>
          <w:bCs/>
          <w:i/>
          <w:color w:val="FF6600"/>
          <w:szCs w:val="28"/>
        </w:rPr>
      </w:pPr>
    </w:p>
    <w:p w14:paraId="70068A48" w14:textId="4F7B3D41" w:rsidR="003F5EE7" w:rsidRPr="00804DC9" w:rsidRDefault="003F5EE7" w:rsidP="00804DC9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cs="Arial"/>
          <w:bCs/>
          <w:i/>
          <w:color w:val="FF6600"/>
          <w:szCs w:val="28"/>
        </w:rPr>
      </w:pPr>
      <w:r>
        <w:t>Where a student successfully completes an individual module, the credits will be awarded and a University transcript issued as evidence.</w:t>
      </w:r>
    </w:p>
    <w:p w14:paraId="45E9C1A7" w14:textId="65BEE19D" w:rsidR="00804DC9" w:rsidRDefault="00804DC9" w:rsidP="00804DC9">
      <w:pPr>
        <w:spacing w:line="276" w:lineRule="auto"/>
        <w:jc w:val="both"/>
        <w:rPr>
          <w:rFonts w:cs="Arial"/>
          <w:bCs/>
          <w:i/>
          <w:color w:val="FF6600"/>
          <w:szCs w:val="28"/>
        </w:rPr>
      </w:pPr>
    </w:p>
    <w:p w14:paraId="45F3DFFF" w14:textId="4CE28D56" w:rsidR="003F5EE7" w:rsidRPr="00804DC9" w:rsidRDefault="003F5EE7" w:rsidP="00804DC9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cs="Arial"/>
          <w:bCs/>
          <w:i/>
          <w:color w:val="FF6600"/>
          <w:szCs w:val="28"/>
        </w:rPr>
      </w:pPr>
      <w:r>
        <w:lastRenderedPageBreak/>
        <w:t xml:space="preserve">A student who does not successfully complete an individual module will be entitled to be considered for any </w:t>
      </w:r>
      <w:r w:rsidR="00804DC9">
        <w:t>reassessment</w:t>
      </w:r>
      <w:r>
        <w:t xml:space="preserve"> available to a student on a registered programme. </w:t>
      </w:r>
    </w:p>
    <w:p w14:paraId="259B92E9" w14:textId="36CAD518" w:rsidR="00804DC9" w:rsidRDefault="00804DC9" w:rsidP="00804DC9">
      <w:pPr>
        <w:spacing w:line="276" w:lineRule="auto"/>
        <w:jc w:val="both"/>
        <w:rPr>
          <w:rFonts w:cs="Arial"/>
          <w:bCs/>
          <w:i/>
          <w:color w:val="FF6600"/>
          <w:szCs w:val="28"/>
        </w:rPr>
      </w:pPr>
    </w:p>
    <w:p w14:paraId="37E50C6F" w14:textId="77777777" w:rsidR="003F5EE7" w:rsidRDefault="003F5EE7" w:rsidP="00804DC9">
      <w:pPr>
        <w:spacing w:line="276" w:lineRule="auto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PROGRAMME STRUCTURE AND DELIVERY</w:t>
      </w:r>
    </w:p>
    <w:p w14:paraId="691ACD26" w14:textId="5F05A183" w:rsidR="003F5EE7" w:rsidRPr="00804DC9" w:rsidRDefault="003F5EE7" w:rsidP="00804DC9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cs="Arial"/>
          <w:bCs/>
          <w:i/>
          <w:color w:val="FF6600"/>
          <w:szCs w:val="28"/>
        </w:rPr>
      </w:pPr>
      <w:r>
        <w:t>Students enter the programme</w:t>
      </w:r>
      <w:r w:rsidR="003872FA">
        <w:t xml:space="preserve"> of study</w:t>
      </w:r>
      <w:r w:rsidR="00355E9C">
        <w:t xml:space="preserve"> at Level 7</w:t>
      </w:r>
      <w:r>
        <w:t xml:space="preserve">. </w:t>
      </w:r>
    </w:p>
    <w:p w14:paraId="761215DF" w14:textId="77777777" w:rsidR="00804DC9" w:rsidRDefault="00804DC9" w:rsidP="00804DC9">
      <w:pPr>
        <w:spacing w:line="276" w:lineRule="auto"/>
        <w:ind w:left="360"/>
        <w:jc w:val="both"/>
        <w:rPr>
          <w:rFonts w:cs="Arial"/>
          <w:bCs/>
          <w:i/>
          <w:color w:val="FF6600"/>
          <w:szCs w:val="28"/>
        </w:rPr>
      </w:pPr>
    </w:p>
    <w:p w14:paraId="4075C0C8" w14:textId="169504FA" w:rsidR="00804DC9" w:rsidRDefault="00AA6838" w:rsidP="00804DC9">
      <w:pPr>
        <w:pStyle w:val="ListParagraph"/>
        <w:numPr>
          <w:ilvl w:val="0"/>
          <w:numId w:val="1"/>
        </w:numPr>
        <w:spacing w:line="276" w:lineRule="auto"/>
      </w:pPr>
      <w:r w:rsidRPr="00AA6838">
        <w:t>Registration on the programme is for a maximum of three years for full-time students and a maximum period of s</w:t>
      </w:r>
      <w:r>
        <w:t>ix years for part-time students</w:t>
      </w:r>
      <w:r w:rsidRPr="00AA6838">
        <w:t xml:space="preserve"> from the date of the initial registration, including interruptions, re-sits of assessments and extensions. </w:t>
      </w:r>
      <w:r w:rsidR="004203A0">
        <w:t xml:space="preserve"> </w:t>
      </w:r>
      <w:r w:rsidRPr="00AA6838">
        <w:t xml:space="preserve">There is no minimum period for registration. </w:t>
      </w:r>
    </w:p>
    <w:p w14:paraId="6DECB0A7" w14:textId="5E476E21" w:rsidR="00804DC9" w:rsidRDefault="00804DC9" w:rsidP="00804DC9">
      <w:pPr>
        <w:spacing w:line="276" w:lineRule="auto"/>
      </w:pPr>
    </w:p>
    <w:p w14:paraId="4C3DCDB3" w14:textId="74B4B81C" w:rsidR="00804DC9" w:rsidRPr="008D459C" w:rsidRDefault="00804DC9" w:rsidP="00804DC9">
      <w:pPr>
        <w:spacing w:line="276" w:lineRule="auto"/>
        <w:jc w:val="both"/>
        <w:rPr>
          <w:b/>
          <w:color w:val="1F497D" w:themeColor="text2"/>
        </w:rPr>
      </w:pPr>
      <w:r w:rsidRPr="008D459C">
        <w:rPr>
          <w:b/>
          <w:color w:val="1F497D" w:themeColor="text2"/>
        </w:rPr>
        <w:t>ACCREDITATION OF PRIOR LEARNING</w:t>
      </w:r>
    </w:p>
    <w:p w14:paraId="3B9BBCAB" w14:textId="2E0457AF" w:rsidR="00804DC9" w:rsidRDefault="00804DC9" w:rsidP="00804DC9">
      <w:pPr>
        <w:pStyle w:val="ListParagraph"/>
        <w:numPr>
          <w:ilvl w:val="0"/>
          <w:numId w:val="1"/>
        </w:numPr>
        <w:spacing w:line="276" w:lineRule="auto"/>
        <w:jc w:val="both"/>
      </w:pPr>
      <w:r>
        <w:t>The programme is subject to University regulations with regard to APL, with the exception of the following:</w:t>
      </w:r>
    </w:p>
    <w:p w14:paraId="77A49CBA" w14:textId="77777777" w:rsidR="00804DC9" w:rsidRDefault="00804DC9" w:rsidP="00804DC9">
      <w:pPr>
        <w:spacing w:line="276" w:lineRule="auto"/>
        <w:jc w:val="both"/>
      </w:pPr>
    </w:p>
    <w:p w14:paraId="60A1C655" w14:textId="581BD507" w:rsidR="00804DC9" w:rsidRDefault="00804DC9" w:rsidP="00804DC9">
      <w:pPr>
        <w:pStyle w:val="ListParagraph"/>
        <w:numPr>
          <w:ilvl w:val="1"/>
          <w:numId w:val="1"/>
        </w:numPr>
        <w:spacing w:line="276" w:lineRule="auto"/>
        <w:jc w:val="both"/>
      </w:pPr>
      <w:r>
        <w:t>Students who have passed a 15 credit mentorship module (that has been approved by the Nursing &amp; Midwifery Council) at another University will be allowed to submit a 1000 - word reflective essay critically discussing the application of learning to practice to accumulate a further 5 credits, thereby enabling an accreditation of prior learning claim against the Mentorship &amp; Facilitation of Learning module within the MSc Health and Wellbeing programme. The reflective essay will be marked and externally examined as per University assessment procedures.</w:t>
      </w:r>
    </w:p>
    <w:p w14:paraId="5407F8D7" w14:textId="77777777" w:rsidR="00804DC9" w:rsidRDefault="00804DC9" w:rsidP="00804DC9">
      <w:pPr>
        <w:spacing w:line="276" w:lineRule="auto"/>
      </w:pPr>
    </w:p>
    <w:p w14:paraId="781C03D1" w14:textId="7AB23666" w:rsidR="003F5EE7" w:rsidRPr="00804DC9" w:rsidRDefault="003F5EE7" w:rsidP="00804DC9">
      <w:pPr>
        <w:spacing w:line="276" w:lineRule="auto"/>
      </w:pPr>
      <w:r w:rsidRPr="00804DC9">
        <w:rPr>
          <w:b/>
          <w:bCs/>
          <w:color w:val="1F497D" w:themeColor="text2"/>
        </w:rPr>
        <w:t>ASSESSMENT</w:t>
      </w:r>
    </w:p>
    <w:p w14:paraId="65CB6082" w14:textId="18FFFF47" w:rsidR="003F5EE7" w:rsidRPr="00804DC9" w:rsidRDefault="003F5EE7" w:rsidP="00804DC9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rPr>
          <w:rFonts w:cs="Arial"/>
        </w:rPr>
        <w:t xml:space="preserve">Students must pass all modules. </w:t>
      </w:r>
      <w:r w:rsidR="00C8606B">
        <w:rPr>
          <w:rFonts w:cs="Arial"/>
        </w:rPr>
        <w:t>S</w:t>
      </w:r>
      <w:r>
        <w:rPr>
          <w:rFonts w:cs="Arial"/>
        </w:rPr>
        <w:t>tudent</w:t>
      </w:r>
      <w:r w:rsidR="00C8606B">
        <w:rPr>
          <w:rFonts w:cs="Arial"/>
        </w:rPr>
        <w:t>s</w:t>
      </w:r>
      <w:r>
        <w:rPr>
          <w:rFonts w:cs="Arial"/>
        </w:rPr>
        <w:t xml:space="preserve"> must pass all elements of assessment within a module.</w:t>
      </w:r>
    </w:p>
    <w:p w14:paraId="2FF10236" w14:textId="77777777" w:rsidR="00804DC9" w:rsidRDefault="00804DC9" w:rsidP="00804DC9">
      <w:pPr>
        <w:spacing w:line="276" w:lineRule="auto"/>
        <w:jc w:val="both"/>
      </w:pPr>
    </w:p>
    <w:p w14:paraId="4A242D9E" w14:textId="77777777" w:rsidR="003F5EE7" w:rsidRDefault="003F5EE7" w:rsidP="00804DC9">
      <w:pPr>
        <w:spacing w:line="276" w:lineRule="auto"/>
        <w:jc w:val="both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PROFESSIONAL PRACTICE AND CONDUCT</w:t>
      </w:r>
    </w:p>
    <w:p w14:paraId="68F6DDEA" w14:textId="503A28F9" w:rsidR="003F5EE7" w:rsidRDefault="004B4593" w:rsidP="00804DC9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Cs/>
        </w:rPr>
      </w:pPr>
      <w:r>
        <w:t>Where</w:t>
      </w:r>
      <w:r w:rsidR="00F26EC7">
        <w:t xml:space="preserve"> applicable </w:t>
      </w:r>
      <w:r>
        <w:rPr>
          <w:bCs/>
        </w:rPr>
        <w:t xml:space="preserve">students must meet </w:t>
      </w:r>
      <w:r w:rsidR="00FB6509">
        <w:t>the requirements of their</w:t>
      </w:r>
      <w:r w:rsidR="00F26EC7">
        <w:t xml:space="preserve"> relevant</w:t>
      </w:r>
      <w:r w:rsidR="00FB6509">
        <w:t xml:space="preserve"> professional regulatory body</w:t>
      </w:r>
      <w:r w:rsidR="003F5EE7">
        <w:t xml:space="preserve"> relating to student conduct, good health and good character</w:t>
      </w:r>
      <w:r w:rsidR="003F5EE7">
        <w:rPr>
          <w:bCs/>
        </w:rPr>
        <w:t>.</w:t>
      </w:r>
      <w:r w:rsidR="00AA6838">
        <w:rPr>
          <w:bCs/>
        </w:rPr>
        <w:t xml:space="preserve"> </w:t>
      </w:r>
      <w:r w:rsidR="003F5EE7">
        <w:rPr>
          <w:bCs/>
        </w:rPr>
        <w:t xml:space="preserve"> Breaches of professional conduct will be subject to the fitness to practise procedures for the Faculty of Health and </w:t>
      </w:r>
      <w:r w:rsidR="00804DC9">
        <w:rPr>
          <w:bCs/>
        </w:rPr>
        <w:t>Wellbeing</w:t>
      </w:r>
      <w:r w:rsidR="003F5EE7">
        <w:rPr>
          <w:bCs/>
        </w:rPr>
        <w:t>.</w:t>
      </w:r>
    </w:p>
    <w:p w14:paraId="2260ABCB" w14:textId="77777777" w:rsidR="0090222B" w:rsidRPr="00053FFB" w:rsidRDefault="0090222B" w:rsidP="00804DC9">
      <w:pPr>
        <w:spacing w:line="276" w:lineRule="auto"/>
        <w:ind w:left="360"/>
        <w:jc w:val="both"/>
        <w:rPr>
          <w:i/>
          <w:color w:val="FF6600"/>
        </w:rPr>
      </w:pPr>
    </w:p>
    <w:p w14:paraId="67819937" w14:textId="77777777" w:rsidR="008D459C" w:rsidRDefault="008D459C" w:rsidP="008D459C">
      <w:pPr>
        <w:suppressAutoHyphens w:val="0"/>
        <w:autoSpaceDN w:val="0"/>
        <w:spacing w:before="120" w:after="120"/>
        <w:jc w:val="both"/>
      </w:pPr>
      <w:r>
        <w:t>Last updated and approved by Academic Board: 27/06/2016</w:t>
      </w:r>
    </w:p>
    <w:p w14:paraId="2C0DA431" w14:textId="7C53D91A" w:rsidR="0090222B" w:rsidRDefault="0090222B" w:rsidP="00804DC9">
      <w:pPr>
        <w:suppressAutoHyphens w:val="0"/>
        <w:spacing w:line="276" w:lineRule="auto"/>
        <w:rPr>
          <w:b/>
          <w:color w:val="1F497D" w:themeColor="text2"/>
        </w:rPr>
      </w:pPr>
    </w:p>
    <w:p w14:paraId="00A7F4E3" w14:textId="77777777" w:rsidR="00C8606B" w:rsidRDefault="00C8606B" w:rsidP="00804DC9">
      <w:pPr>
        <w:suppressAutoHyphens w:val="0"/>
        <w:spacing w:line="276" w:lineRule="auto"/>
        <w:rPr>
          <w:b/>
          <w:color w:val="1F497D" w:themeColor="text2"/>
        </w:rPr>
      </w:pPr>
    </w:p>
    <w:p w14:paraId="466A5007" w14:textId="77777777" w:rsidR="00C8606B" w:rsidRDefault="00C8606B" w:rsidP="00804DC9">
      <w:pPr>
        <w:suppressAutoHyphens w:val="0"/>
        <w:spacing w:line="276" w:lineRule="auto"/>
        <w:rPr>
          <w:b/>
          <w:color w:val="1F497D" w:themeColor="text2"/>
        </w:rPr>
      </w:pPr>
    </w:p>
    <w:sectPr w:rsidR="00C8606B" w:rsidSect="00053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722DA" w14:textId="77777777" w:rsidR="00E05420" w:rsidRDefault="00E05420" w:rsidP="00DC08E1">
      <w:r>
        <w:separator/>
      </w:r>
    </w:p>
  </w:endnote>
  <w:endnote w:type="continuationSeparator" w:id="0">
    <w:p w14:paraId="5690586A" w14:textId="77777777" w:rsidR="00E05420" w:rsidRDefault="00E05420" w:rsidP="00DC08E1">
      <w:r>
        <w:continuationSeparator/>
      </w:r>
    </w:p>
  </w:endnote>
  <w:endnote w:type="continuationNotice" w:id="1">
    <w:p w14:paraId="6CB63E59" w14:textId="77777777" w:rsidR="00E05420" w:rsidRDefault="00E05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4A74E" w14:textId="77777777" w:rsidR="000744F7" w:rsidRDefault="00074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773F" w14:textId="5543E06D" w:rsidR="00F30C6B" w:rsidRPr="007D5122" w:rsidRDefault="000A47BD" w:rsidP="00F30C6B">
    <w:pPr>
      <w:pStyle w:val="Header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Special Regulations R</w:t>
    </w:r>
    <w:r w:rsidR="00F30C6B" w:rsidRPr="006042AB">
      <w:rPr>
        <w:i/>
        <w:sz w:val="20"/>
        <w:szCs w:val="20"/>
      </w:rPr>
      <w:t>elating to the</w:t>
    </w:r>
    <w:r>
      <w:rPr>
        <w:i/>
        <w:sz w:val="20"/>
        <w:szCs w:val="20"/>
      </w:rPr>
      <w:t xml:space="preserve"> </w:t>
    </w:r>
    <w:r w:rsidR="00A350BC">
      <w:rPr>
        <w:i/>
        <w:sz w:val="20"/>
        <w:szCs w:val="20"/>
      </w:rPr>
      <w:t>MSc Health and Wellbeing</w:t>
    </w:r>
    <w:r w:rsidR="00F30C6B">
      <w:rPr>
        <w:i/>
        <w:sz w:val="20"/>
        <w:szCs w:val="20"/>
      </w:rPr>
      <w:t xml:space="preserve"> </w:t>
    </w:r>
    <w:r w:rsidR="00A350BC">
      <w:rPr>
        <w:i/>
        <w:sz w:val="20"/>
        <w:szCs w:val="20"/>
      </w:rPr>
      <w:t>(Negotiate</w:t>
    </w:r>
    <w:bookmarkStart w:id="0" w:name="_GoBack"/>
    <w:bookmarkEnd w:id="0"/>
    <w:r w:rsidR="000744F7">
      <w:rPr>
        <w:i/>
        <w:sz w:val="20"/>
        <w:szCs w:val="20"/>
      </w:rPr>
      <w:t>d</w:t>
    </w:r>
    <w:r w:rsidR="00A350BC">
      <w:rPr>
        <w:i/>
        <w:sz w:val="20"/>
        <w:szCs w:val="20"/>
      </w:rPr>
      <w:t xml:space="preserve"> Endorsement)</w:t>
    </w:r>
    <w:r w:rsidR="00F30C6B">
      <w:rPr>
        <w:i/>
        <w:sz w:val="20"/>
        <w:szCs w:val="20"/>
      </w:rPr>
      <w:tab/>
    </w:r>
    <w:r w:rsidR="00F30C6B">
      <w:rPr>
        <w:i/>
        <w:sz w:val="20"/>
        <w:szCs w:val="20"/>
      </w:rPr>
      <w:tab/>
    </w:r>
    <w:r w:rsidR="00F30C6B" w:rsidRPr="007D5122">
      <w:rPr>
        <w:i/>
        <w:sz w:val="20"/>
        <w:szCs w:val="20"/>
      </w:rPr>
      <w:t xml:space="preserve">Page </w:t>
    </w:r>
    <w:r w:rsidR="00B7323C" w:rsidRPr="007D5122">
      <w:rPr>
        <w:rStyle w:val="PageNumber"/>
        <w:i/>
        <w:sz w:val="20"/>
        <w:szCs w:val="20"/>
      </w:rPr>
      <w:fldChar w:fldCharType="begin"/>
    </w:r>
    <w:r w:rsidR="00F30C6B" w:rsidRPr="007D5122">
      <w:rPr>
        <w:rStyle w:val="PageNumber"/>
        <w:i/>
        <w:sz w:val="20"/>
        <w:szCs w:val="20"/>
      </w:rPr>
      <w:instrText xml:space="preserve"> PAGE </w:instrText>
    </w:r>
    <w:r w:rsidR="00B7323C" w:rsidRPr="007D5122">
      <w:rPr>
        <w:rStyle w:val="PageNumber"/>
        <w:i/>
        <w:sz w:val="20"/>
        <w:szCs w:val="20"/>
      </w:rPr>
      <w:fldChar w:fldCharType="separate"/>
    </w:r>
    <w:r w:rsidR="000744F7">
      <w:rPr>
        <w:rStyle w:val="PageNumber"/>
        <w:i/>
        <w:noProof/>
        <w:sz w:val="20"/>
        <w:szCs w:val="20"/>
      </w:rPr>
      <w:t>2</w:t>
    </w:r>
    <w:r w:rsidR="00B7323C" w:rsidRPr="007D5122">
      <w:rPr>
        <w:rStyle w:val="PageNumber"/>
        <w:i/>
        <w:sz w:val="20"/>
        <w:szCs w:val="20"/>
      </w:rPr>
      <w:fldChar w:fldCharType="end"/>
    </w:r>
  </w:p>
  <w:p w14:paraId="347C8BF2" w14:textId="77777777" w:rsidR="00F30C6B" w:rsidRDefault="00F30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1332" w14:textId="77777777" w:rsidR="000744F7" w:rsidRDefault="00074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BB16" w14:textId="77777777" w:rsidR="00E05420" w:rsidRDefault="00E05420" w:rsidP="00DC08E1">
      <w:r>
        <w:separator/>
      </w:r>
    </w:p>
  </w:footnote>
  <w:footnote w:type="continuationSeparator" w:id="0">
    <w:p w14:paraId="5F185D30" w14:textId="77777777" w:rsidR="00E05420" w:rsidRDefault="00E05420" w:rsidP="00DC08E1">
      <w:r>
        <w:continuationSeparator/>
      </w:r>
    </w:p>
  </w:footnote>
  <w:footnote w:type="continuationNotice" w:id="1">
    <w:p w14:paraId="74725D79" w14:textId="77777777" w:rsidR="00E05420" w:rsidRDefault="00E054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5170" w14:textId="77777777" w:rsidR="000744F7" w:rsidRDefault="00074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A60D" w14:textId="77777777" w:rsidR="000744F7" w:rsidRDefault="00074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8A72" w14:textId="77777777" w:rsidR="000744F7" w:rsidRDefault="00074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69E11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DF2E72"/>
    <w:multiLevelType w:val="multilevel"/>
    <w:tmpl w:val="ABA2E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A34257E"/>
    <w:multiLevelType w:val="hybridMultilevel"/>
    <w:tmpl w:val="5AB2BDBC"/>
    <w:lvl w:ilvl="0" w:tplc="F4B0CE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951DC"/>
    <w:multiLevelType w:val="hybridMultilevel"/>
    <w:tmpl w:val="564AA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2A81"/>
    <w:multiLevelType w:val="hybridMultilevel"/>
    <w:tmpl w:val="86285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0D4174"/>
    <w:multiLevelType w:val="hybridMultilevel"/>
    <w:tmpl w:val="0014801C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9F6A19"/>
    <w:multiLevelType w:val="multilevel"/>
    <w:tmpl w:val="3A38DA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A85704"/>
    <w:multiLevelType w:val="hybridMultilevel"/>
    <w:tmpl w:val="7952BE3A"/>
    <w:lvl w:ilvl="0" w:tplc="560CA4E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D17BBF"/>
    <w:multiLevelType w:val="multilevel"/>
    <w:tmpl w:val="4C3622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86F3EBD"/>
    <w:multiLevelType w:val="hybridMultilevel"/>
    <w:tmpl w:val="1F987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D72A7"/>
    <w:multiLevelType w:val="hybridMultilevel"/>
    <w:tmpl w:val="A7F4E9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7867A4"/>
    <w:multiLevelType w:val="multilevel"/>
    <w:tmpl w:val="2F8448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E7"/>
    <w:rsid w:val="00000369"/>
    <w:rsid w:val="00020863"/>
    <w:rsid w:val="00030AAC"/>
    <w:rsid w:val="00053FFB"/>
    <w:rsid w:val="00055974"/>
    <w:rsid w:val="00055D42"/>
    <w:rsid w:val="000578AF"/>
    <w:rsid w:val="0007196A"/>
    <w:rsid w:val="00072F78"/>
    <w:rsid w:val="000744F7"/>
    <w:rsid w:val="000800D0"/>
    <w:rsid w:val="000927A9"/>
    <w:rsid w:val="000A47BD"/>
    <w:rsid w:val="000B09DA"/>
    <w:rsid w:val="000C2EFF"/>
    <w:rsid w:val="00106D81"/>
    <w:rsid w:val="00107AA1"/>
    <w:rsid w:val="00126B50"/>
    <w:rsid w:val="00141345"/>
    <w:rsid w:val="00150311"/>
    <w:rsid w:val="00152C40"/>
    <w:rsid w:val="00175991"/>
    <w:rsid w:val="001B493D"/>
    <w:rsid w:val="00214A15"/>
    <w:rsid w:val="00236455"/>
    <w:rsid w:val="00266F08"/>
    <w:rsid w:val="0029149C"/>
    <w:rsid w:val="002A2AF6"/>
    <w:rsid w:val="00312B62"/>
    <w:rsid w:val="00335BEE"/>
    <w:rsid w:val="00336E47"/>
    <w:rsid w:val="00355E9C"/>
    <w:rsid w:val="00363E10"/>
    <w:rsid w:val="00370CAC"/>
    <w:rsid w:val="003872FA"/>
    <w:rsid w:val="00391FB6"/>
    <w:rsid w:val="003A242A"/>
    <w:rsid w:val="003D1786"/>
    <w:rsid w:val="003F5EE7"/>
    <w:rsid w:val="0040274F"/>
    <w:rsid w:val="00416F3A"/>
    <w:rsid w:val="004203A0"/>
    <w:rsid w:val="004264F4"/>
    <w:rsid w:val="004266A3"/>
    <w:rsid w:val="0042679A"/>
    <w:rsid w:val="004439B1"/>
    <w:rsid w:val="004461D3"/>
    <w:rsid w:val="0045490D"/>
    <w:rsid w:val="00454E53"/>
    <w:rsid w:val="00457586"/>
    <w:rsid w:val="00473FE3"/>
    <w:rsid w:val="004772A1"/>
    <w:rsid w:val="004A63BC"/>
    <w:rsid w:val="004B4593"/>
    <w:rsid w:val="004B73CE"/>
    <w:rsid w:val="004C3969"/>
    <w:rsid w:val="004D1B6F"/>
    <w:rsid w:val="004F3727"/>
    <w:rsid w:val="005234CB"/>
    <w:rsid w:val="005524AD"/>
    <w:rsid w:val="00571855"/>
    <w:rsid w:val="00577BCB"/>
    <w:rsid w:val="00580BD7"/>
    <w:rsid w:val="005813BE"/>
    <w:rsid w:val="005C4DAE"/>
    <w:rsid w:val="005F1659"/>
    <w:rsid w:val="006042AB"/>
    <w:rsid w:val="0063323F"/>
    <w:rsid w:val="006B0C26"/>
    <w:rsid w:val="006B2A61"/>
    <w:rsid w:val="006C5320"/>
    <w:rsid w:val="006F4AE8"/>
    <w:rsid w:val="0070458F"/>
    <w:rsid w:val="00712E51"/>
    <w:rsid w:val="00730D01"/>
    <w:rsid w:val="00740080"/>
    <w:rsid w:val="00764A15"/>
    <w:rsid w:val="00784895"/>
    <w:rsid w:val="00804DC9"/>
    <w:rsid w:val="0081417B"/>
    <w:rsid w:val="00820C18"/>
    <w:rsid w:val="00854686"/>
    <w:rsid w:val="008639E6"/>
    <w:rsid w:val="00864A9B"/>
    <w:rsid w:val="00866173"/>
    <w:rsid w:val="0089017A"/>
    <w:rsid w:val="008B6912"/>
    <w:rsid w:val="008D459C"/>
    <w:rsid w:val="008E06BA"/>
    <w:rsid w:val="008F1FF6"/>
    <w:rsid w:val="008F390A"/>
    <w:rsid w:val="0090222B"/>
    <w:rsid w:val="00902317"/>
    <w:rsid w:val="00916743"/>
    <w:rsid w:val="00916DB0"/>
    <w:rsid w:val="00927E37"/>
    <w:rsid w:val="00937F86"/>
    <w:rsid w:val="009442B2"/>
    <w:rsid w:val="00990944"/>
    <w:rsid w:val="00991360"/>
    <w:rsid w:val="009A1612"/>
    <w:rsid w:val="00A15C3E"/>
    <w:rsid w:val="00A345B3"/>
    <w:rsid w:val="00A350BC"/>
    <w:rsid w:val="00A44AC5"/>
    <w:rsid w:val="00AA6838"/>
    <w:rsid w:val="00B007A8"/>
    <w:rsid w:val="00B0168A"/>
    <w:rsid w:val="00B13057"/>
    <w:rsid w:val="00B228AC"/>
    <w:rsid w:val="00B22DCF"/>
    <w:rsid w:val="00B23CAB"/>
    <w:rsid w:val="00B3516A"/>
    <w:rsid w:val="00B44010"/>
    <w:rsid w:val="00B562A3"/>
    <w:rsid w:val="00B63FD2"/>
    <w:rsid w:val="00B672AB"/>
    <w:rsid w:val="00B7323C"/>
    <w:rsid w:val="00B745AC"/>
    <w:rsid w:val="00BA208F"/>
    <w:rsid w:val="00C019EB"/>
    <w:rsid w:val="00C119C3"/>
    <w:rsid w:val="00C1364D"/>
    <w:rsid w:val="00C364A4"/>
    <w:rsid w:val="00C4687D"/>
    <w:rsid w:val="00C50C8D"/>
    <w:rsid w:val="00C605A6"/>
    <w:rsid w:val="00C756AD"/>
    <w:rsid w:val="00C8606B"/>
    <w:rsid w:val="00C87BD2"/>
    <w:rsid w:val="00C9360B"/>
    <w:rsid w:val="00CD4641"/>
    <w:rsid w:val="00D15777"/>
    <w:rsid w:val="00D24342"/>
    <w:rsid w:val="00D62E20"/>
    <w:rsid w:val="00D81A2F"/>
    <w:rsid w:val="00D84FDA"/>
    <w:rsid w:val="00DA23E1"/>
    <w:rsid w:val="00DC08E1"/>
    <w:rsid w:val="00DC7A1E"/>
    <w:rsid w:val="00DD58B6"/>
    <w:rsid w:val="00E05420"/>
    <w:rsid w:val="00E0544A"/>
    <w:rsid w:val="00E10A56"/>
    <w:rsid w:val="00E63AFD"/>
    <w:rsid w:val="00E879AC"/>
    <w:rsid w:val="00E9239A"/>
    <w:rsid w:val="00E979BC"/>
    <w:rsid w:val="00ED223E"/>
    <w:rsid w:val="00EF7138"/>
    <w:rsid w:val="00F06517"/>
    <w:rsid w:val="00F11741"/>
    <w:rsid w:val="00F25C27"/>
    <w:rsid w:val="00F26EC7"/>
    <w:rsid w:val="00F30C6B"/>
    <w:rsid w:val="00F66412"/>
    <w:rsid w:val="00F732C5"/>
    <w:rsid w:val="00F93A9F"/>
    <w:rsid w:val="00F94E8E"/>
    <w:rsid w:val="00FB6509"/>
    <w:rsid w:val="00FB7E4E"/>
    <w:rsid w:val="00FC46DE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B3D3"/>
  <w15:docId w15:val="{19B46ED8-C222-425B-BBBF-0D03FD85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E7"/>
    <w:pPr>
      <w:suppressAutoHyphens/>
      <w:spacing w:after="0" w:line="240" w:lineRule="auto"/>
    </w:pPr>
    <w:rPr>
      <w:rFonts w:ascii="Humnst777 BT" w:eastAsia="Times New Roman" w:hAnsi="Humnst777 BT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4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08E1"/>
    <w:rPr>
      <w:rFonts w:ascii="Humnst777 BT" w:eastAsia="Times New Roman" w:hAnsi="Humnst777 BT" w:cs="Times New Roman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784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08E1"/>
    <w:rPr>
      <w:rFonts w:ascii="Humnst777 BT" w:eastAsia="Times New Roman" w:hAnsi="Humnst777 BT" w:cs="Times New Roman"/>
      <w:szCs w:val="24"/>
      <w:lang w:eastAsia="ar-SA"/>
    </w:rPr>
  </w:style>
  <w:style w:type="table" w:styleId="TableGrid">
    <w:name w:val="Table Grid"/>
    <w:basedOn w:val="TableNormal"/>
    <w:uiPriority w:val="59"/>
    <w:rsid w:val="0002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4895"/>
  </w:style>
  <w:style w:type="paragraph" w:styleId="ListParagraph">
    <w:name w:val="List Paragraph"/>
    <w:basedOn w:val="Normal"/>
    <w:uiPriority w:val="34"/>
    <w:qFormat/>
    <w:rsid w:val="0078489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84895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4895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95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95"/>
    <w:rPr>
      <w:rFonts w:ascii="Humnst777 BT" w:eastAsia="Times New Roman" w:hAnsi="Humnst777 BT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95"/>
    <w:rPr>
      <w:rFonts w:ascii="Humnst777 BT" w:eastAsia="Times New Roman" w:hAnsi="Humnst777 BT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C1364D"/>
    <w:pPr>
      <w:spacing w:after="0" w:line="240" w:lineRule="auto"/>
    </w:pPr>
    <w:rPr>
      <w:rFonts w:ascii="Humnst777 BT" w:eastAsia="Times New Roman" w:hAnsi="Humnst777 BT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4478-EF63-48F3-A494-954C5A6C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A05A13CA</Template>
  <TotalTime>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cps6</dc:creator>
  <cp:lastModifiedBy>Collins, Suzanne (suzanne.collins@canterbury.ac.uk)</cp:lastModifiedBy>
  <cp:revision>4</cp:revision>
  <dcterms:created xsi:type="dcterms:W3CDTF">2016-05-26T13:12:00Z</dcterms:created>
  <dcterms:modified xsi:type="dcterms:W3CDTF">2016-06-28T12:17:00Z</dcterms:modified>
</cp:coreProperties>
</file>