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2D4DB" w14:textId="77777777" w:rsidR="006F29E6" w:rsidRPr="00946F6F" w:rsidRDefault="006F29E6" w:rsidP="001C12C8">
      <w:pPr>
        <w:spacing w:after="0" w:line="240" w:lineRule="auto"/>
        <w:jc w:val="both"/>
        <w:rPr>
          <w:rFonts w:ascii="Humnst777 BT" w:hAnsi="Humnst777 BT"/>
          <w:b/>
        </w:rPr>
      </w:pPr>
      <w:r w:rsidRPr="00946F6F">
        <w:rPr>
          <w:rFonts w:ascii="Humnst777 BT" w:hAnsi="Humnst777 BT"/>
          <w:b/>
        </w:rPr>
        <w:t>Work-Related Experience – FAQs</w:t>
      </w:r>
    </w:p>
    <w:p w14:paraId="2F8C9E77" w14:textId="77777777" w:rsidR="006F29E6" w:rsidRPr="00946F6F" w:rsidRDefault="006F29E6" w:rsidP="001C12C8">
      <w:pPr>
        <w:spacing w:after="0" w:line="240" w:lineRule="auto"/>
        <w:jc w:val="both"/>
        <w:rPr>
          <w:rFonts w:ascii="Humnst777 BT" w:hAnsi="Humnst777 BT"/>
          <w:b/>
        </w:rPr>
      </w:pPr>
    </w:p>
    <w:p w14:paraId="40A80AF4" w14:textId="77777777" w:rsidR="006F29E6" w:rsidRPr="00946F6F" w:rsidRDefault="006F29E6" w:rsidP="001C12C8">
      <w:pPr>
        <w:shd w:val="clear" w:color="auto" w:fill="DEEAF6" w:themeFill="accent1" w:themeFillTint="33"/>
        <w:spacing w:after="0" w:line="240" w:lineRule="auto"/>
        <w:jc w:val="both"/>
        <w:rPr>
          <w:rFonts w:ascii="Humnst777 BT" w:hAnsi="Humnst777 BT"/>
          <w:b/>
        </w:rPr>
      </w:pPr>
      <w:r w:rsidRPr="00946F6F">
        <w:rPr>
          <w:rFonts w:ascii="Humnst777 BT" w:hAnsi="Humnst777 BT"/>
          <w:b/>
        </w:rPr>
        <w:t>What is the policy on Work-Related Experience?</w:t>
      </w:r>
    </w:p>
    <w:p w14:paraId="09B916AC" w14:textId="40E2558F" w:rsidR="006F29E6" w:rsidRPr="00946F6F" w:rsidRDefault="006F29E6" w:rsidP="001C12C8">
      <w:pPr>
        <w:spacing w:after="0" w:line="240" w:lineRule="auto"/>
        <w:jc w:val="both"/>
        <w:rPr>
          <w:rFonts w:ascii="Humnst777 BT" w:hAnsi="Humnst777 BT"/>
        </w:rPr>
      </w:pPr>
      <w:r w:rsidRPr="00946F6F">
        <w:rPr>
          <w:rFonts w:ascii="Humnst777 BT" w:hAnsi="Humnst777 BT"/>
        </w:rPr>
        <w:t xml:space="preserve">The University is committed to all undergraduate programmes including a compulsory and assessed element of work-related experience, to the value of twenty credits or equivalent, in the form of a single module or across modules and levels. By September 2017 programmes need to </w:t>
      </w:r>
      <w:r w:rsidR="003E317C">
        <w:rPr>
          <w:rFonts w:ascii="Humnst777 BT" w:hAnsi="Humnst777 BT"/>
        </w:rPr>
        <w:t xml:space="preserve">have this in place or, if this is not possible within that timescale, </w:t>
      </w:r>
      <w:r w:rsidRPr="00946F6F">
        <w:rPr>
          <w:rFonts w:ascii="Humnst777 BT" w:hAnsi="Humnst777 BT"/>
        </w:rPr>
        <w:t xml:space="preserve">demonstrate that an action plan is in place </w:t>
      </w:r>
      <w:r w:rsidR="003E317C">
        <w:rPr>
          <w:rFonts w:ascii="Humnst777 BT" w:hAnsi="Humnst777 BT"/>
        </w:rPr>
        <w:t xml:space="preserve">to implement the requirement. </w:t>
      </w:r>
    </w:p>
    <w:p w14:paraId="1CA78AC5" w14:textId="77777777" w:rsidR="006F29E6" w:rsidRPr="00946F6F" w:rsidRDefault="006F29E6" w:rsidP="001C12C8">
      <w:pPr>
        <w:spacing w:after="0" w:line="240" w:lineRule="auto"/>
        <w:jc w:val="both"/>
        <w:rPr>
          <w:rFonts w:ascii="Humnst777 BT" w:hAnsi="Humnst777 BT"/>
        </w:rPr>
      </w:pPr>
    </w:p>
    <w:p w14:paraId="62836994" w14:textId="77777777" w:rsidR="006F29E6" w:rsidRDefault="006F29E6" w:rsidP="001C12C8">
      <w:pPr>
        <w:spacing w:after="0" w:line="240" w:lineRule="auto"/>
        <w:jc w:val="both"/>
        <w:rPr>
          <w:rFonts w:ascii="Humnst777 BT" w:hAnsi="Humnst777 BT"/>
        </w:rPr>
      </w:pPr>
      <w:r w:rsidRPr="00946F6F">
        <w:rPr>
          <w:rFonts w:ascii="Humnst777 BT" w:hAnsi="Humnst777 BT"/>
        </w:rPr>
        <w:t xml:space="preserve">This commitment should be seen as one way of enhancing graduate employability and be viewed as part of a holistic approach to embedding employability.  There is no single </w:t>
      </w:r>
      <w:r w:rsidR="003E317C">
        <w:rPr>
          <w:rFonts w:ascii="Humnst777 BT" w:hAnsi="Humnst777 BT"/>
        </w:rPr>
        <w:t xml:space="preserve">prescribed </w:t>
      </w:r>
      <w:r w:rsidRPr="00946F6F">
        <w:rPr>
          <w:rFonts w:ascii="Humnst777 BT" w:hAnsi="Humnst777 BT"/>
        </w:rPr>
        <w:t>model for integrating work-related experience into programmes, as it is critical that the work-related experience is discipline specific and aligned to programme outcomes.</w:t>
      </w:r>
    </w:p>
    <w:p w14:paraId="66762D94" w14:textId="77777777" w:rsidR="002C3FBB" w:rsidRDefault="002C3FBB" w:rsidP="001C12C8">
      <w:pPr>
        <w:spacing w:after="0" w:line="240" w:lineRule="auto"/>
        <w:jc w:val="both"/>
        <w:rPr>
          <w:rFonts w:ascii="Humnst777 BT" w:hAnsi="Humnst777 BT"/>
        </w:rPr>
      </w:pPr>
    </w:p>
    <w:p w14:paraId="5EBF664C" w14:textId="77777777" w:rsidR="002C3FBB" w:rsidRPr="002C3FBB" w:rsidRDefault="002C3FBB" w:rsidP="001C12C8">
      <w:pPr>
        <w:spacing w:after="0" w:line="240" w:lineRule="auto"/>
        <w:jc w:val="both"/>
        <w:rPr>
          <w:rFonts w:ascii="Humnst777 BT" w:hAnsi="Humnst777 BT"/>
        </w:rPr>
      </w:pPr>
      <w:r w:rsidRPr="002C3FBB">
        <w:rPr>
          <w:rFonts w:ascii="Humnst777 BT" w:hAnsi="Humnst777 BT"/>
        </w:rPr>
        <w:t>In essence, the twenty credit work-related experience is:</w:t>
      </w:r>
    </w:p>
    <w:p w14:paraId="6FC46226" w14:textId="77777777" w:rsidR="002C3FBB" w:rsidRPr="009B7624" w:rsidRDefault="002C3FBB" w:rsidP="001C12C8">
      <w:pPr>
        <w:pStyle w:val="ListParagraph"/>
        <w:numPr>
          <w:ilvl w:val="0"/>
          <w:numId w:val="1"/>
        </w:numPr>
        <w:spacing w:after="0" w:line="240" w:lineRule="auto"/>
        <w:jc w:val="both"/>
        <w:rPr>
          <w:rFonts w:ascii="Humnst777 BT" w:hAnsi="Humnst777 BT"/>
        </w:rPr>
      </w:pPr>
      <w:r w:rsidRPr="009B7624">
        <w:rPr>
          <w:rFonts w:ascii="Humnst777 BT" w:hAnsi="Humnst777 BT"/>
        </w:rPr>
        <w:t xml:space="preserve">A compulsory and assessed element to the value of twenty credits or equivalent. </w:t>
      </w:r>
    </w:p>
    <w:p w14:paraId="5BF64543" w14:textId="77777777" w:rsidR="002C3FBB" w:rsidRPr="009B7624" w:rsidRDefault="002C3FBB" w:rsidP="001C12C8">
      <w:pPr>
        <w:pStyle w:val="ListParagraph"/>
        <w:numPr>
          <w:ilvl w:val="0"/>
          <w:numId w:val="1"/>
        </w:numPr>
        <w:spacing w:after="0" w:line="240" w:lineRule="auto"/>
        <w:jc w:val="both"/>
        <w:rPr>
          <w:rFonts w:ascii="Humnst777 BT" w:hAnsi="Humnst777 BT"/>
        </w:rPr>
      </w:pPr>
      <w:r w:rsidRPr="009B7624">
        <w:rPr>
          <w:rFonts w:ascii="Humnst777 BT" w:hAnsi="Humnst777 BT"/>
        </w:rPr>
        <w:t xml:space="preserve">In the form of a single module or across </w:t>
      </w:r>
      <w:r>
        <w:rPr>
          <w:rStyle w:val="FootnoteReference"/>
          <w:rFonts w:ascii="Humnst777 BT" w:hAnsi="Humnst777 BT"/>
        </w:rPr>
        <w:footnoteReference w:id="1"/>
      </w:r>
      <w:r w:rsidRPr="009B7624">
        <w:rPr>
          <w:rFonts w:ascii="Humnst777 BT" w:hAnsi="Humnst777 BT"/>
        </w:rPr>
        <w:t xml:space="preserve">modules and levels within a programme. </w:t>
      </w:r>
    </w:p>
    <w:p w14:paraId="11CC061E" w14:textId="77777777" w:rsidR="002C3FBB" w:rsidRPr="009B7624" w:rsidRDefault="002C3FBB" w:rsidP="001C12C8">
      <w:pPr>
        <w:pStyle w:val="ListParagraph"/>
        <w:numPr>
          <w:ilvl w:val="0"/>
          <w:numId w:val="1"/>
        </w:numPr>
        <w:spacing w:after="0" w:line="240" w:lineRule="auto"/>
        <w:jc w:val="both"/>
        <w:rPr>
          <w:rFonts w:ascii="Humnst777 BT" w:hAnsi="Humnst777 BT"/>
        </w:rPr>
      </w:pPr>
      <w:r w:rsidRPr="009B7624">
        <w:rPr>
          <w:rFonts w:ascii="Humnst777 BT" w:hAnsi="Humnst777 BT"/>
        </w:rPr>
        <w:t>To enable students to achieve specific work-related learning outcomes.</w:t>
      </w:r>
    </w:p>
    <w:p w14:paraId="5B135A27" w14:textId="77777777" w:rsidR="002C3FBB" w:rsidRPr="009B7624" w:rsidRDefault="002C3FBB" w:rsidP="001C12C8">
      <w:pPr>
        <w:pStyle w:val="ListParagraph"/>
        <w:numPr>
          <w:ilvl w:val="0"/>
          <w:numId w:val="1"/>
        </w:numPr>
        <w:spacing w:after="0" w:line="240" w:lineRule="auto"/>
        <w:jc w:val="both"/>
        <w:rPr>
          <w:rFonts w:ascii="Humnst777 BT" w:hAnsi="Humnst777 BT"/>
        </w:rPr>
      </w:pPr>
      <w:r w:rsidRPr="009B7624">
        <w:rPr>
          <w:rFonts w:ascii="Humnst777 BT" w:hAnsi="Humnst777 BT"/>
        </w:rPr>
        <w:t xml:space="preserve">To be linked with occupationally relevant external organisations. </w:t>
      </w:r>
    </w:p>
    <w:p w14:paraId="10767F49" w14:textId="77777777" w:rsidR="006F29E6" w:rsidRDefault="006F29E6" w:rsidP="001C12C8">
      <w:pPr>
        <w:spacing w:after="0" w:line="240" w:lineRule="auto"/>
        <w:jc w:val="both"/>
        <w:rPr>
          <w:rFonts w:ascii="Humnst777 BT" w:hAnsi="Humnst777 BT"/>
          <w:b/>
        </w:rPr>
      </w:pPr>
    </w:p>
    <w:p w14:paraId="2CFDC353" w14:textId="77777777" w:rsidR="002C3FBB" w:rsidRPr="00946F6F" w:rsidRDefault="002C3FBB" w:rsidP="001C12C8">
      <w:pPr>
        <w:spacing w:after="0" w:line="240" w:lineRule="auto"/>
        <w:jc w:val="both"/>
        <w:rPr>
          <w:rFonts w:ascii="Humnst777 BT" w:hAnsi="Humnst777 BT"/>
          <w:b/>
        </w:rPr>
      </w:pPr>
    </w:p>
    <w:p w14:paraId="1E3B1CA6" w14:textId="77777777" w:rsidR="006F29E6" w:rsidRPr="00946F6F" w:rsidRDefault="006F29E6" w:rsidP="001C12C8">
      <w:pPr>
        <w:shd w:val="clear" w:color="auto" w:fill="DEEAF6" w:themeFill="accent1" w:themeFillTint="33"/>
        <w:spacing w:after="0" w:line="240" w:lineRule="auto"/>
        <w:jc w:val="both"/>
        <w:rPr>
          <w:rFonts w:ascii="Humnst777 BT" w:hAnsi="Humnst777 BT"/>
          <w:b/>
        </w:rPr>
      </w:pPr>
      <w:r w:rsidRPr="00946F6F">
        <w:rPr>
          <w:rFonts w:ascii="Humnst777 BT" w:hAnsi="Humnst777 BT"/>
          <w:b/>
        </w:rPr>
        <w:t>Why Work-Related Experience?</w:t>
      </w:r>
    </w:p>
    <w:p w14:paraId="5CC6C972" w14:textId="77777777" w:rsidR="006F29E6" w:rsidRPr="00946F6F" w:rsidRDefault="006F29E6" w:rsidP="001C12C8">
      <w:pPr>
        <w:spacing w:after="0" w:line="240" w:lineRule="auto"/>
        <w:jc w:val="both"/>
        <w:rPr>
          <w:rFonts w:ascii="Humnst777 BT" w:hAnsi="Humnst777 BT"/>
        </w:rPr>
      </w:pPr>
      <w:r w:rsidRPr="00946F6F">
        <w:rPr>
          <w:rFonts w:ascii="Humnst777 BT" w:hAnsi="Humnst777 BT"/>
        </w:rPr>
        <w:t>Work-related experiences provide students with the opportunity to develop and enhance their employability skills and attributes whilst experiencing the world of work. Research indicates that work-related experiences (e.g. traditional work experience through placements, completing an assessment designed by an employer, or taking part in a simulation day) have a positive impact on degree performance, as well as enabling the successful transition to graduate employment and/or further study. It also has a positive impact on student retention.</w:t>
      </w:r>
    </w:p>
    <w:p w14:paraId="512AFCA5" w14:textId="77777777" w:rsidR="006F29E6" w:rsidRPr="00946F6F" w:rsidRDefault="006F29E6" w:rsidP="001C12C8">
      <w:pPr>
        <w:spacing w:after="0" w:line="240" w:lineRule="auto"/>
        <w:jc w:val="both"/>
        <w:rPr>
          <w:rFonts w:ascii="Humnst777 BT" w:hAnsi="Humnst777 BT"/>
        </w:rPr>
      </w:pPr>
    </w:p>
    <w:p w14:paraId="792B24CC" w14:textId="77777777" w:rsidR="006F29E6" w:rsidRPr="00946F6F" w:rsidRDefault="006F29E6" w:rsidP="001C12C8">
      <w:pPr>
        <w:spacing w:after="0" w:line="240" w:lineRule="auto"/>
        <w:jc w:val="both"/>
        <w:rPr>
          <w:rFonts w:ascii="Humnst777 BT" w:hAnsi="Humnst777 BT"/>
        </w:rPr>
      </w:pPr>
    </w:p>
    <w:p w14:paraId="072FA4AB" w14:textId="77777777" w:rsidR="00946F6F" w:rsidRDefault="006F29E6" w:rsidP="001C12C8">
      <w:pPr>
        <w:shd w:val="clear" w:color="auto" w:fill="DEEAF6" w:themeFill="accent1" w:themeFillTint="33"/>
        <w:spacing w:after="0" w:line="240" w:lineRule="auto"/>
        <w:jc w:val="both"/>
        <w:rPr>
          <w:rFonts w:ascii="Humnst777 BT" w:hAnsi="Humnst777 BT"/>
          <w:b/>
        </w:rPr>
      </w:pPr>
      <w:r w:rsidRPr="00946F6F">
        <w:rPr>
          <w:rFonts w:ascii="Humnst777 BT" w:hAnsi="Humnst777 BT"/>
          <w:b/>
        </w:rPr>
        <w:t>What is the difference between Work-Related Experience, Work-Based Learning and Employability?</w:t>
      </w:r>
    </w:p>
    <w:p w14:paraId="49CCDFA7" w14:textId="77777777" w:rsidR="00946F6F" w:rsidRDefault="00946F6F" w:rsidP="001C12C8">
      <w:pPr>
        <w:spacing w:after="0" w:line="240" w:lineRule="auto"/>
        <w:jc w:val="both"/>
        <w:rPr>
          <w:rFonts w:ascii="Humnst777 BT" w:hAnsi="Humnst777 BT"/>
          <w:b/>
        </w:rPr>
      </w:pPr>
    </w:p>
    <w:p w14:paraId="53ACF7F6" w14:textId="77777777" w:rsidR="00946F6F" w:rsidRDefault="00946F6F" w:rsidP="001C12C8">
      <w:pPr>
        <w:spacing w:after="0" w:line="240" w:lineRule="auto"/>
        <w:jc w:val="both"/>
        <w:rPr>
          <w:rFonts w:ascii="Humnst777 BT" w:hAnsi="Humnst777 BT"/>
          <w:i/>
        </w:rPr>
      </w:pPr>
      <w:r w:rsidRPr="00946F6F">
        <w:rPr>
          <w:rFonts w:ascii="Humnst777 BT" w:hAnsi="Humnst777 BT"/>
          <w:b/>
        </w:rPr>
        <w:t>Employability</w:t>
      </w:r>
      <w:r w:rsidR="002C3FBB">
        <w:rPr>
          <w:rFonts w:ascii="Humnst777 BT" w:hAnsi="Humnst777 BT"/>
          <w:b/>
        </w:rPr>
        <w:t xml:space="preserve"> </w:t>
      </w:r>
      <w:r w:rsidR="002C3FBB" w:rsidRPr="002C3FBB">
        <w:rPr>
          <w:rFonts w:ascii="Humnst777 BT" w:hAnsi="Humnst777 BT"/>
        </w:rPr>
        <w:t xml:space="preserve">is a broad definition </w:t>
      </w:r>
      <w:r w:rsidR="002C3FBB">
        <w:rPr>
          <w:rFonts w:ascii="Humnst777 BT" w:hAnsi="Humnst777 BT"/>
        </w:rPr>
        <w:t xml:space="preserve">and </w:t>
      </w:r>
      <w:r w:rsidRPr="00946F6F">
        <w:rPr>
          <w:rFonts w:ascii="Humnst777 BT" w:hAnsi="Humnst777 BT"/>
        </w:rPr>
        <w:t xml:space="preserve">is not simply about finding a job, setting up a business or freelancing. It is about making connections between study, personal development and other activities that influence the individuals’ ability to find, gain and be successful in their chosen employment: </w:t>
      </w:r>
      <w:r w:rsidRPr="00946F6F">
        <w:rPr>
          <w:rFonts w:ascii="Humnst777 BT" w:hAnsi="Humnst777 BT"/>
          <w:i/>
        </w:rPr>
        <w:t>[employability is</w:t>
      </w:r>
      <w:r w:rsidRPr="00946F6F">
        <w:rPr>
          <w:rFonts w:ascii="Humnst777 BT" w:hAnsi="Humnst777 BT"/>
        </w:rPr>
        <w:t xml:space="preserve">] </w:t>
      </w:r>
      <w:r w:rsidRPr="00946F6F">
        <w:rPr>
          <w:rFonts w:ascii="Humnst777 BT" w:hAnsi="Humnst777 BT"/>
          <w:i/>
        </w:rPr>
        <w:t xml:space="preserve">“A set of achievements - </w:t>
      </w:r>
      <w:r w:rsidRPr="00946F6F">
        <w:rPr>
          <w:rFonts w:ascii="Humnst777 BT" w:hAnsi="Humnst777 BT"/>
          <w:b/>
          <w:i/>
        </w:rPr>
        <w:t>skills, understandings and personal attributes</w:t>
      </w:r>
      <w:r w:rsidRPr="00946F6F">
        <w:rPr>
          <w:rFonts w:ascii="Humnst777 BT" w:hAnsi="Humnst777 BT"/>
          <w:i/>
        </w:rPr>
        <w:t xml:space="preserve"> - that make individuals more likely to gain employment and be successful in their chosen occupations, which benefits themselves, the workforce, the community and the economy.” (Knight and </w:t>
      </w:r>
      <w:proofErr w:type="spellStart"/>
      <w:r w:rsidRPr="00946F6F">
        <w:rPr>
          <w:rFonts w:ascii="Humnst777 BT" w:hAnsi="Humnst777 BT"/>
          <w:i/>
        </w:rPr>
        <w:t>Yorke</w:t>
      </w:r>
      <w:proofErr w:type="spellEnd"/>
      <w:r w:rsidRPr="00946F6F">
        <w:rPr>
          <w:rFonts w:ascii="Humnst777 BT" w:hAnsi="Humnst777 BT"/>
          <w:i/>
        </w:rPr>
        <w:t>, 2003).</w:t>
      </w:r>
    </w:p>
    <w:p w14:paraId="2DB18098" w14:textId="77777777" w:rsidR="002C3FBB" w:rsidRDefault="002C3FBB" w:rsidP="001C12C8">
      <w:pPr>
        <w:spacing w:after="0" w:line="240" w:lineRule="auto"/>
        <w:jc w:val="both"/>
        <w:rPr>
          <w:rFonts w:ascii="Humnst777 BT" w:hAnsi="Humnst777 BT"/>
          <w:i/>
        </w:rPr>
      </w:pPr>
    </w:p>
    <w:p w14:paraId="0D9F1419" w14:textId="77777777" w:rsidR="002C3FBB" w:rsidRPr="00D536EE" w:rsidRDefault="002C3FBB" w:rsidP="001C12C8">
      <w:pPr>
        <w:spacing w:after="0" w:line="240" w:lineRule="auto"/>
        <w:jc w:val="both"/>
        <w:rPr>
          <w:rFonts w:ascii="Humnst777 BT" w:hAnsi="Humnst777 BT"/>
        </w:rPr>
      </w:pPr>
      <w:r>
        <w:rPr>
          <w:rFonts w:ascii="Humnst777 BT" w:hAnsi="Humnst777 BT"/>
          <w:b/>
        </w:rPr>
        <w:t xml:space="preserve">Work-Based Learning </w:t>
      </w:r>
      <w:r w:rsidRPr="00D536EE">
        <w:rPr>
          <w:rFonts w:ascii="Humnst777 BT" w:hAnsi="Humnst777 BT"/>
        </w:rPr>
        <w:t>is</w:t>
      </w:r>
      <w:r>
        <w:rPr>
          <w:rFonts w:ascii="Humnst777 BT" w:hAnsi="Humnst777 BT"/>
          <w:b/>
        </w:rPr>
        <w:t xml:space="preserve"> </w:t>
      </w:r>
      <w:r w:rsidRPr="00D536EE">
        <w:rPr>
          <w:rFonts w:ascii="Humnst777 BT" w:hAnsi="Humnst777 BT"/>
        </w:rPr>
        <w:t xml:space="preserve">learning that is integral to a higher education programme and which is based in the workplace and assessed and credited as part of a University programme. It is usually achieved and demonstrated through engagement with a workplace </w:t>
      </w:r>
      <w:r w:rsidRPr="00D536EE">
        <w:rPr>
          <w:rFonts w:ascii="Humnst777 BT" w:hAnsi="Humnst777 BT"/>
        </w:rPr>
        <w:lastRenderedPageBreak/>
        <w:t>environment, the assessment of reflective practice and the designation of</w:t>
      </w:r>
      <w:r w:rsidR="007E0A3E" w:rsidRPr="00D536EE">
        <w:rPr>
          <w:rFonts w:ascii="Humnst777 BT" w:hAnsi="Humnst777 BT"/>
        </w:rPr>
        <w:t xml:space="preserve"> appropriate learning outcomes (based on the Q</w:t>
      </w:r>
      <w:r w:rsidR="00D536EE">
        <w:rPr>
          <w:rFonts w:ascii="Humnst777 BT" w:hAnsi="Humnst777 BT"/>
        </w:rPr>
        <w:t>A</w:t>
      </w:r>
      <w:r w:rsidR="007E0A3E" w:rsidRPr="00D536EE">
        <w:rPr>
          <w:rFonts w:ascii="Humnst777 BT" w:hAnsi="Humnst777 BT"/>
        </w:rPr>
        <w:t>A definition), for example, professional placements and Degree Apprenticeships.</w:t>
      </w:r>
    </w:p>
    <w:p w14:paraId="2AD2C47F" w14:textId="77777777" w:rsidR="007E0A3E" w:rsidRDefault="007E0A3E" w:rsidP="001C12C8">
      <w:pPr>
        <w:spacing w:after="0" w:line="240" w:lineRule="auto"/>
        <w:jc w:val="both"/>
      </w:pPr>
    </w:p>
    <w:p w14:paraId="72C90590" w14:textId="77777777" w:rsidR="002C3FBB" w:rsidRDefault="002C3FBB" w:rsidP="001C12C8">
      <w:pPr>
        <w:spacing w:after="0" w:line="240" w:lineRule="auto"/>
        <w:jc w:val="both"/>
        <w:rPr>
          <w:rFonts w:ascii="Humnst777 BT" w:hAnsi="Humnst777 BT"/>
        </w:rPr>
      </w:pPr>
      <w:r w:rsidRPr="002C3FBB">
        <w:rPr>
          <w:rFonts w:ascii="Humnst777 BT" w:hAnsi="Humnst777 BT"/>
          <w:b/>
        </w:rPr>
        <w:t>Work-Related Experience</w:t>
      </w:r>
      <w:r>
        <w:rPr>
          <w:rFonts w:ascii="Humnst777 BT" w:hAnsi="Humnst777 BT"/>
        </w:rPr>
        <w:t xml:space="preserve"> is about providing a “window” into</w:t>
      </w:r>
      <w:r w:rsidR="007E0A3E">
        <w:rPr>
          <w:rFonts w:ascii="Humnst777 BT" w:hAnsi="Humnst777 BT"/>
        </w:rPr>
        <w:t>,</w:t>
      </w:r>
      <w:r>
        <w:rPr>
          <w:rFonts w:ascii="Humnst777 BT" w:hAnsi="Humnst777 BT"/>
        </w:rPr>
        <w:t xml:space="preserve"> </w:t>
      </w:r>
      <w:r w:rsidR="007E0A3E">
        <w:rPr>
          <w:rFonts w:ascii="Humnst777 BT" w:hAnsi="Humnst777 BT"/>
        </w:rPr>
        <w:t xml:space="preserve">and an experience of, the world of work, for example, micro-placements, employer-led projects and enterprise activities. </w:t>
      </w:r>
    </w:p>
    <w:p w14:paraId="24E765D1" w14:textId="77777777" w:rsidR="007E0A3E" w:rsidRDefault="007E0A3E" w:rsidP="001C12C8">
      <w:pPr>
        <w:spacing w:after="0" w:line="240" w:lineRule="auto"/>
        <w:jc w:val="both"/>
        <w:rPr>
          <w:rFonts w:ascii="Humnst777 BT" w:hAnsi="Humnst777 BT"/>
        </w:rPr>
      </w:pPr>
    </w:p>
    <w:p w14:paraId="5C39CA2E" w14:textId="77777777" w:rsidR="00785E67" w:rsidRDefault="00785E67" w:rsidP="001C12C8">
      <w:pPr>
        <w:spacing w:after="0" w:line="240" w:lineRule="auto"/>
        <w:jc w:val="both"/>
        <w:rPr>
          <w:rFonts w:ascii="Humnst777 BT" w:hAnsi="Humnst777 BT"/>
        </w:rPr>
      </w:pPr>
    </w:p>
    <w:p w14:paraId="300E3CF3" w14:textId="77777777" w:rsidR="00161051" w:rsidRPr="00161051" w:rsidRDefault="00161051" w:rsidP="001C12C8">
      <w:pPr>
        <w:shd w:val="clear" w:color="auto" w:fill="DEEAF6" w:themeFill="accent1" w:themeFillTint="33"/>
        <w:spacing w:after="0" w:line="240" w:lineRule="auto"/>
        <w:jc w:val="both"/>
        <w:rPr>
          <w:rFonts w:ascii="Humnst777 BT" w:hAnsi="Humnst777 BT"/>
          <w:b/>
        </w:rPr>
      </w:pPr>
      <w:r w:rsidRPr="00161051">
        <w:rPr>
          <w:rFonts w:ascii="Humnst777 BT" w:hAnsi="Humnst777 BT"/>
          <w:b/>
        </w:rPr>
        <w:t>What do I need to consider in designing my curriculum for work-related experience?</w:t>
      </w:r>
    </w:p>
    <w:p w14:paraId="2D4501E2" w14:textId="77777777" w:rsidR="00161051" w:rsidRDefault="00FC7E05" w:rsidP="001C12C8">
      <w:pPr>
        <w:spacing w:after="0" w:line="240" w:lineRule="auto"/>
        <w:jc w:val="both"/>
        <w:rPr>
          <w:rFonts w:ascii="Humnst777 BT" w:hAnsi="Humnst777 BT"/>
        </w:rPr>
      </w:pPr>
      <w:r>
        <w:rPr>
          <w:rFonts w:ascii="Humnst777 BT" w:hAnsi="Humnst777 BT"/>
        </w:rPr>
        <w:t>In developing your work-related learning opportunities, it is helpful to consider how the experience:</w:t>
      </w:r>
    </w:p>
    <w:p w14:paraId="4B65F924" w14:textId="77777777" w:rsidR="00FC7E05" w:rsidRPr="009B7624" w:rsidRDefault="00FC7E05" w:rsidP="001C12C8">
      <w:pPr>
        <w:pStyle w:val="ListParagraph"/>
        <w:numPr>
          <w:ilvl w:val="0"/>
          <w:numId w:val="1"/>
        </w:numPr>
        <w:spacing w:after="0" w:line="240" w:lineRule="auto"/>
        <w:jc w:val="both"/>
        <w:rPr>
          <w:rFonts w:ascii="Humnst777 BT" w:hAnsi="Humnst777 BT"/>
        </w:rPr>
      </w:pPr>
      <w:r w:rsidRPr="009B7624">
        <w:rPr>
          <w:rFonts w:ascii="Humnst777 BT" w:hAnsi="Humnst777 BT"/>
        </w:rPr>
        <w:t>Provide</w:t>
      </w:r>
      <w:r>
        <w:rPr>
          <w:rFonts w:ascii="Humnst777 BT" w:hAnsi="Humnst777 BT"/>
        </w:rPr>
        <w:t>s</w:t>
      </w:r>
      <w:r w:rsidRPr="009B7624">
        <w:rPr>
          <w:rFonts w:ascii="Humnst777 BT" w:hAnsi="Humnst777 BT"/>
        </w:rPr>
        <w:t xml:space="preserve"> students with tangible learning opportunities to integrate theory and practice, as they would need to do in the workplace. </w:t>
      </w:r>
    </w:p>
    <w:p w14:paraId="2213C334" w14:textId="77777777" w:rsidR="00FC7E05" w:rsidRPr="009B7624" w:rsidRDefault="00FC7E05" w:rsidP="001C12C8">
      <w:pPr>
        <w:pStyle w:val="ListParagraph"/>
        <w:numPr>
          <w:ilvl w:val="0"/>
          <w:numId w:val="1"/>
        </w:numPr>
        <w:spacing w:after="0" w:line="240" w:lineRule="auto"/>
        <w:jc w:val="both"/>
        <w:rPr>
          <w:rFonts w:ascii="Humnst777 BT" w:hAnsi="Humnst777 BT"/>
        </w:rPr>
      </w:pPr>
      <w:r>
        <w:rPr>
          <w:rFonts w:ascii="Humnst777 BT" w:hAnsi="Humnst777 BT"/>
        </w:rPr>
        <w:t>Is</w:t>
      </w:r>
      <w:r w:rsidRPr="009B7624">
        <w:rPr>
          <w:rFonts w:ascii="Humnst777 BT" w:hAnsi="Humnst777 BT"/>
        </w:rPr>
        <w:t xml:space="preserve"> authentic, i.e. match as near as possible real-world tasks.</w:t>
      </w:r>
    </w:p>
    <w:p w14:paraId="6B3475A8" w14:textId="77777777" w:rsidR="00FC7E05" w:rsidRPr="009B7624" w:rsidRDefault="00FC7E05" w:rsidP="001C12C8">
      <w:pPr>
        <w:pStyle w:val="ListParagraph"/>
        <w:numPr>
          <w:ilvl w:val="0"/>
          <w:numId w:val="1"/>
        </w:numPr>
        <w:spacing w:after="0" w:line="240" w:lineRule="auto"/>
        <w:jc w:val="both"/>
        <w:rPr>
          <w:rFonts w:ascii="Humnst777 BT" w:hAnsi="Humnst777 BT"/>
        </w:rPr>
      </w:pPr>
      <w:r w:rsidRPr="009B7624">
        <w:rPr>
          <w:rFonts w:ascii="Humnst777 BT" w:hAnsi="Humnst777 BT"/>
        </w:rPr>
        <w:t>Encourage</w:t>
      </w:r>
      <w:r>
        <w:rPr>
          <w:rFonts w:ascii="Humnst777 BT" w:hAnsi="Humnst777 BT"/>
        </w:rPr>
        <w:t>s</w:t>
      </w:r>
      <w:r w:rsidRPr="009B7624">
        <w:rPr>
          <w:rFonts w:ascii="Humnst777 BT" w:hAnsi="Humnst777 BT"/>
        </w:rPr>
        <w:t xml:space="preserve"> and support</w:t>
      </w:r>
      <w:r>
        <w:rPr>
          <w:rFonts w:ascii="Humnst777 BT" w:hAnsi="Humnst777 BT"/>
        </w:rPr>
        <w:t>s</w:t>
      </w:r>
      <w:r w:rsidRPr="009B7624">
        <w:rPr>
          <w:rFonts w:ascii="Humnst777 BT" w:hAnsi="Humnst777 BT"/>
        </w:rPr>
        <w:t xml:space="preserve"> students’ interest in a wide variety of careers.</w:t>
      </w:r>
    </w:p>
    <w:p w14:paraId="5692B114" w14:textId="77777777" w:rsidR="00FC7E05" w:rsidRPr="009B7624" w:rsidRDefault="00FC7E05" w:rsidP="001C12C8">
      <w:pPr>
        <w:pStyle w:val="ListParagraph"/>
        <w:numPr>
          <w:ilvl w:val="0"/>
          <w:numId w:val="1"/>
        </w:numPr>
        <w:spacing w:after="0" w:line="240" w:lineRule="auto"/>
        <w:jc w:val="both"/>
        <w:rPr>
          <w:rFonts w:ascii="Humnst777 BT" w:hAnsi="Humnst777 BT"/>
        </w:rPr>
      </w:pPr>
      <w:r w:rsidRPr="009B7624">
        <w:rPr>
          <w:rFonts w:ascii="Humnst777 BT" w:hAnsi="Humnst777 BT"/>
        </w:rPr>
        <w:t>Provide</w:t>
      </w:r>
      <w:r>
        <w:rPr>
          <w:rFonts w:ascii="Humnst777 BT" w:hAnsi="Humnst777 BT"/>
        </w:rPr>
        <w:t>s</w:t>
      </w:r>
      <w:r w:rsidRPr="009B7624">
        <w:rPr>
          <w:rFonts w:ascii="Humnst777 BT" w:hAnsi="Humnst777 BT"/>
        </w:rPr>
        <w:t xml:space="preserve"> a ‘window’ into the world of work.</w:t>
      </w:r>
    </w:p>
    <w:p w14:paraId="54A040A1" w14:textId="77777777" w:rsidR="00FC7E05" w:rsidRPr="009B7624" w:rsidRDefault="00FC7E05" w:rsidP="001C12C8">
      <w:pPr>
        <w:pStyle w:val="ListParagraph"/>
        <w:numPr>
          <w:ilvl w:val="0"/>
          <w:numId w:val="1"/>
        </w:numPr>
        <w:spacing w:after="0" w:line="240" w:lineRule="auto"/>
        <w:jc w:val="both"/>
        <w:rPr>
          <w:rFonts w:ascii="Humnst777 BT" w:hAnsi="Humnst777 BT"/>
        </w:rPr>
      </w:pPr>
      <w:r w:rsidRPr="009B7624">
        <w:rPr>
          <w:rFonts w:ascii="Humnst777 BT" w:hAnsi="Humnst777 BT"/>
        </w:rPr>
        <w:t>Provide</w:t>
      </w:r>
      <w:r>
        <w:rPr>
          <w:rFonts w:ascii="Humnst777 BT" w:hAnsi="Humnst777 BT"/>
        </w:rPr>
        <w:t>s</w:t>
      </w:r>
      <w:r w:rsidRPr="009B7624">
        <w:rPr>
          <w:rFonts w:ascii="Humnst777 BT" w:hAnsi="Humnst777 BT"/>
        </w:rPr>
        <w:t xml:space="preserve"> the opportunity to develop and enhance </w:t>
      </w:r>
      <w:r>
        <w:rPr>
          <w:rFonts w:ascii="Humnst777 BT" w:hAnsi="Humnst777 BT"/>
        </w:rPr>
        <w:t>their</w:t>
      </w:r>
      <w:r w:rsidRPr="009B7624">
        <w:rPr>
          <w:rFonts w:ascii="Humnst777 BT" w:hAnsi="Humnst777 BT"/>
        </w:rPr>
        <w:t xml:space="preserve"> Graduate Attributes.</w:t>
      </w:r>
    </w:p>
    <w:p w14:paraId="22DC3DB4" w14:textId="77777777" w:rsidR="00FC7E05" w:rsidRPr="009B7624" w:rsidRDefault="00FC7E05" w:rsidP="001C12C8">
      <w:pPr>
        <w:pStyle w:val="ListParagraph"/>
        <w:numPr>
          <w:ilvl w:val="0"/>
          <w:numId w:val="1"/>
        </w:numPr>
        <w:spacing w:after="0" w:line="240" w:lineRule="auto"/>
        <w:jc w:val="both"/>
        <w:rPr>
          <w:rFonts w:ascii="Humnst777 BT" w:hAnsi="Humnst777 BT"/>
        </w:rPr>
      </w:pPr>
      <w:r w:rsidRPr="009B7624">
        <w:rPr>
          <w:rFonts w:ascii="Humnst777 BT" w:hAnsi="Humnst777 BT"/>
        </w:rPr>
        <w:t>Require</w:t>
      </w:r>
      <w:r>
        <w:rPr>
          <w:rFonts w:ascii="Humnst777 BT" w:hAnsi="Humnst777 BT"/>
        </w:rPr>
        <w:t>s</w:t>
      </w:r>
      <w:r w:rsidRPr="009B7624">
        <w:rPr>
          <w:rFonts w:ascii="Humnst777 BT" w:hAnsi="Humnst777 BT"/>
        </w:rPr>
        <w:t xml:space="preserve"> students to take on an active rather than a passive role in the learning process.</w:t>
      </w:r>
    </w:p>
    <w:p w14:paraId="7637D45D" w14:textId="77777777" w:rsidR="00FC7E05" w:rsidRDefault="00FC7E05" w:rsidP="001C12C8">
      <w:pPr>
        <w:pStyle w:val="ListParagraph"/>
        <w:numPr>
          <w:ilvl w:val="0"/>
          <w:numId w:val="1"/>
        </w:numPr>
        <w:spacing w:after="0" w:line="240" w:lineRule="auto"/>
        <w:jc w:val="both"/>
        <w:rPr>
          <w:rFonts w:ascii="Humnst777 BT" w:hAnsi="Humnst777 BT"/>
        </w:rPr>
      </w:pPr>
      <w:r w:rsidRPr="009B7624">
        <w:rPr>
          <w:rFonts w:ascii="Humnst777 BT" w:hAnsi="Humnst777 BT"/>
        </w:rPr>
        <w:t>Provide</w:t>
      </w:r>
      <w:r>
        <w:rPr>
          <w:rFonts w:ascii="Humnst777 BT" w:hAnsi="Humnst777 BT"/>
        </w:rPr>
        <w:t>s</w:t>
      </w:r>
      <w:r w:rsidRPr="009B7624">
        <w:rPr>
          <w:rFonts w:ascii="Humnst777 BT" w:hAnsi="Humnst777 BT"/>
        </w:rPr>
        <w:t xml:space="preserve"> students with the opportunity to develop their subject understanding, skills, efficacy, and meta-cognition (USEM model).</w:t>
      </w:r>
    </w:p>
    <w:p w14:paraId="56DAF9E8" w14:textId="77777777" w:rsidR="00FC7E05" w:rsidRDefault="00FC7E05" w:rsidP="001C12C8">
      <w:pPr>
        <w:pStyle w:val="ListParagraph"/>
        <w:numPr>
          <w:ilvl w:val="0"/>
          <w:numId w:val="1"/>
        </w:numPr>
        <w:spacing w:after="0" w:line="240" w:lineRule="auto"/>
        <w:jc w:val="both"/>
        <w:rPr>
          <w:rFonts w:ascii="Humnst777 BT" w:hAnsi="Humnst777 BT"/>
        </w:rPr>
      </w:pPr>
      <w:r>
        <w:rPr>
          <w:rFonts w:ascii="Humnst777 BT" w:hAnsi="Humnst777 BT"/>
        </w:rPr>
        <w:t>Provides an opportunity to develop communities of practice with employers.</w:t>
      </w:r>
    </w:p>
    <w:p w14:paraId="29B21884" w14:textId="77777777" w:rsidR="00FC7E05" w:rsidRDefault="00FC7E05" w:rsidP="001C12C8">
      <w:pPr>
        <w:pStyle w:val="ListParagraph"/>
        <w:numPr>
          <w:ilvl w:val="0"/>
          <w:numId w:val="1"/>
        </w:numPr>
        <w:spacing w:after="0" w:line="240" w:lineRule="auto"/>
        <w:jc w:val="both"/>
        <w:rPr>
          <w:rFonts w:ascii="Humnst777 BT" w:hAnsi="Humnst777 BT"/>
        </w:rPr>
      </w:pPr>
      <w:r>
        <w:rPr>
          <w:rFonts w:ascii="Humnst777 BT" w:hAnsi="Humnst777 BT"/>
        </w:rPr>
        <w:t>Impacts on student choice, particular in relation to Combined Honours.</w:t>
      </w:r>
    </w:p>
    <w:p w14:paraId="306354A0" w14:textId="77777777" w:rsidR="00FC7E05" w:rsidRDefault="00FC7E05" w:rsidP="001C12C8">
      <w:pPr>
        <w:pStyle w:val="ListParagraph"/>
        <w:numPr>
          <w:ilvl w:val="0"/>
          <w:numId w:val="1"/>
        </w:numPr>
        <w:spacing w:after="0" w:line="240" w:lineRule="auto"/>
        <w:jc w:val="both"/>
        <w:rPr>
          <w:rFonts w:ascii="Humnst777 BT" w:hAnsi="Humnst777 BT"/>
        </w:rPr>
      </w:pPr>
      <w:r>
        <w:rPr>
          <w:rFonts w:ascii="Humnst777 BT" w:hAnsi="Humnst777 BT"/>
        </w:rPr>
        <w:t>Is impactful</w:t>
      </w:r>
      <w:r w:rsidR="00785E67">
        <w:rPr>
          <w:rFonts w:ascii="Humnst777 BT" w:hAnsi="Humnst777 BT"/>
        </w:rPr>
        <w:t xml:space="preserve">, clear and concise. A dispersed approach across a number of modules may limit the impact of, and learning gained from, the experience. </w:t>
      </w:r>
    </w:p>
    <w:p w14:paraId="6DB23B57" w14:textId="77777777" w:rsidR="00785E67" w:rsidRPr="009B7624" w:rsidRDefault="00785E67" w:rsidP="001C12C8">
      <w:pPr>
        <w:pStyle w:val="ListParagraph"/>
        <w:numPr>
          <w:ilvl w:val="0"/>
          <w:numId w:val="1"/>
        </w:numPr>
        <w:spacing w:after="0" w:line="240" w:lineRule="auto"/>
        <w:jc w:val="both"/>
        <w:rPr>
          <w:rFonts w:ascii="Humnst777 BT" w:hAnsi="Humnst777 BT"/>
        </w:rPr>
      </w:pPr>
      <w:r>
        <w:rPr>
          <w:rFonts w:ascii="Humnst777 BT" w:hAnsi="Humnst777 BT"/>
        </w:rPr>
        <w:t>Encourages progression.</w:t>
      </w:r>
    </w:p>
    <w:p w14:paraId="699B61CD" w14:textId="77777777" w:rsidR="00FC7E05" w:rsidRDefault="00FC7E05" w:rsidP="001C12C8">
      <w:pPr>
        <w:spacing w:after="0" w:line="240" w:lineRule="auto"/>
        <w:jc w:val="both"/>
        <w:rPr>
          <w:rFonts w:ascii="Humnst777 BT" w:hAnsi="Humnst777 BT"/>
        </w:rPr>
      </w:pPr>
    </w:p>
    <w:p w14:paraId="0903F694" w14:textId="77777777" w:rsidR="00FC7E05" w:rsidRDefault="00FC7E05" w:rsidP="001C12C8">
      <w:pPr>
        <w:spacing w:after="0" w:line="240" w:lineRule="auto"/>
        <w:jc w:val="both"/>
        <w:rPr>
          <w:rFonts w:ascii="Humnst777 BT" w:hAnsi="Humnst777 BT"/>
        </w:rPr>
      </w:pPr>
    </w:p>
    <w:p w14:paraId="78173DF7" w14:textId="77777777" w:rsidR="006F29E6" w:rsidRPr="00946F6F" w:rsidRDefault="006F29E6" w:rsidP="001C12C8">
      <w:pPr>
        <w:shd w:val="clear" w:color="auto" w:fill="DEEAF6" w:themeFill="accent1" w:themeFillTint="33"/>
        <w:spacing w:after="0" w:line="240" w:lineRule="auto"/>
        <w:jc w:val="both"/>
        <w:rPr>
          <w:rFonts w:ascii="Humnst777 BT" w:hAnsi="Humnst777 BT"/>
          <w:b/>
        </w:rPr>
      </w:pPr>
      <w:r w:rsidRPr="00946F6F">
        <w:rPr>
          <w:rFonts w:ascii="Humnst777 BT" w:hAnsi="Humnst777 BT"/>
          <w:b/>
        </w:rPr>
        <w:t>My programme is a combined honours, what do I need to do?</w:t>
      </w:r>
    </w:p>
    <w:p w14:paraId="65EF41A7" w14:textId="77777777" w:rsidR="0001571C" w:rsidRPr="0001571C" w:rsidRDefault="0001571C" w:rsidP="0001571C">
      <w:pPr>
        <w:spacing w:after="0" w:line="240" w:lineRule="auto"/>
        <w:jc w:val="both"/>
        <w:rPr>
          <w:rFonts w:ascii="Humnst777 BT" w:hAnsi="Humnst777 BT"/>
        </w:rPr>
      </w:pPr>
      <w:r w:rsidRPr="0001571C">
        <w:rPr>
          <w:rFonts w:ascii="Humnst777 BT" w:hAnsi="Humnst777 BT"/>
        </w:rPr>
        <w:t xml:space="preserve">Students on Combined Honours will have a minimum of one opportunity to undertake twenty credits of WRE and can choose which subject to complete this in. Students can choose to undertake more than one work-related experience opportunity. </w:t>
      </w:r>
    </w:p>
    <w:p w14:paraId="26B6A0A6" w14:textId="77777777" w:rsidR="0001571C" w:rsidRPr="0001571C" w:rsidRDefault="0001571C" w:rsidP="0001571C">
      <w:pPr>
        <w:spacing w:after="0" w:line="240" w:lineRule="auto"/>
        <w:jc w:val="both"/>
        <w:rPr>
          <w:rFonts w:ascii="Humnst777 BT" w:hAnsi="Humnst777 BT"/>
        </w:rPr>
      </w:pPr>
    </w:p>
    <w:p w14:paraId="473DD93F" w14:textId="77777777" w:rsidR="0001571C" w:rsidRPr="0001571C" w:rsidRDefault="0001571C" w:rsidP="0001571C">
      <w:pPr>
        <w:spacing w:after="0" w:line="240" w:lineRule="auto"/>
        <w:jc w:val="both"/>
        <w:rPr>
          <w:rFonts w:ascii="Humnst777 BT" w:hAnsi="Humnst777 BT"/>
        </w:rPr>
      </w:pPr>
      <w:r w:rsidRPr="0001571C">
        <w:rPr>
          <w:rFonts w:ascii="Humnst777 BT" w:hAnsi="Humnst777 BT"/>
        </w:rPr>
        <w:t xml:space="preserve">It is recommended that WRE options are discussed as part of the Combined Honours induction programme. Personal Academic Tutors (PATS) are expected to work closely with Combined Honours students to assess where their WRE should be. Programme teams will be expected to monitor choice/take up. </w:t>
      </w:r>
    </w:p>
    <w:p w14:paraId="2AC410AB" w14:textId="77777777" w:rsidR="0001571C" w:rsidRPr="0001571C" w:rsidRDefault="0001571C" w:rsidP="0001571C">
      <w:pPr>
        <w:spacing w:after="0" w:line="240" w:lineRule="auto"/>
        <w:jc w:val="both"/>
        <w:rPr>
          <w:rFonts w:ascii="Humnst777 BT" w:hAnsi="Humnst777 BT"/>
        </w:rPr>
      </w:pPr>
    </w:p>
    <w:p w14:paraId="3EC02E3D" w14:textId="77777777" w:rsidR="0001571C" w:rsidRPr="0001571C" w:rsidRDefault="0001571C" w:rsidP="0001571C">
      <w:pPr>
        <w:spacing w:after="0" w:line="240" w:lineRule="auto"/>
        <w:jc w:val="both"/>
        <w:rPr>
          <w:rFonts w:ascii="Humnst777 BT" w:hAnsi="Humnst777 BT"/>
        </w:rPr>
      </w:pPr>
      <w:r w:rsidRPr="0001571C">
        <w:rPr>
          <w:rFonts w:ascii="Humnst777 BT" w:hAnsi="Humnst777 BT"/>
        </w:rPr>
        <w:t>In designing WRE within the context of Combined Honours programmes, programme teams need to be mindful not to limit student choice and therefore, where possible, avoid a dispersed approach where the twenty credits of WRE sits across a number of modules.</w:t>
      </w:r>
    </w:p>
    <w:p w14:paraId="6DBAA3E3" w14:textId="77777777" w:rsidR="0001571C" w:rsidRPr="0001571C" w:rsidRDefault="0001571C" w:rsidP="0001571C">
      <w:pPr>
        <w:spacing w:after="0" w:line="240" w:lineRule="auto"/>
        <w:jc w:val="both"/>
        <w:rPr>
          <w:rFonts w:ascii="Humnst777 BT" w:hAnsi="Humnst777 BT"/>
        </w:rPr>
      </w:pPr>
    </w:p>
    <w:p w14:paraId="2C2E317A" w14:textId="77777777" w:rsidR="0001571C" w:rsidRDefault="0001571C" w:rsidP="0001571C">
      <w:pPr>
        <w:spacing w:after="0" w:line="240" w:lineRule="auto"/>
        <w:jc w:val="both"/>
        <w:rPr>
          <w:rFonts w:ascii="Humnst777 BT" w:hAnsi="Humnst777 BT"/>
        </w:rPr>
      </w:pPr>
      <w:r w:rsidRPr="0001571C">
        <w:rPr>
          <w:rFonts w:ascii="Humnst777 BT" w:hAnsi="Humnst777 BT"/>
        </w:rPr>
        <w:t>Where programmes share a WRE module which is available to Combined Honours students (for example, programmes from within the same School), programme teams need to ensure combined honours students are only taking the WRE module once.</w:t>
      </w:r>
      <w:r>
        <w:rPr>
          <w:rFonts w:ascii="Humnst777 BT" w:hAnsi="Humnst777 BT"/>
        </w:rPr>
        <w:t xml:space="preserve"> </w:t>
      </w:r>
    </w:p>
    <w:p w14:paraId="032CF276" w14:textId="77777777" w:rsidR="0001571C" w:rsidRDefault="0001571C" w:rsidP="0001571C">
      <w:pPr>
        <w:spacing w:after="0" w:line="240" w:lineRule="auto"/>
        <w:jc w:val="both"/>
        <w:rPr>
          <w:rFonts w:ascii="Humnst777 BT" w:hAnsi="Humnst777 BT"/>
        </w:rPr>
      </w:pPr>
    </w:p>
    <w:p w14:paraId="6E5E43E0" w14:textId="77777777" w:rsidR="0001571C" w:rsidRPr="009B7624" w:rsidRDefault="0001571C" w:rsidP="0001571C">
      <w:pPr>
        <w:spacing w:after="0" w:line="240" w:lineRule="auto"/>
        <w:jc w:val="both"/>
        <w:rPr>
          <w:rFonts w:ascii="Humnst777 BT" w:hAnsi="Humnst777 BT"/>
        </w:rPr>
      </w:pPr>
      <w:r>
        <w:rPr>
          <w:rFonts w:ascii="Humnst777 BT" w:hAnsi="Humnst777 BT"/>
        </w:rPr>
        <w:t>A list of the WRE Modules for Combined Honours students will be compiled and will be made available to Programme Teams for Combined Honours.</w:t>
      </w:r>
    </w:p>
    <w:p w14:paraId="6D7D5801" w14:textId="77777777" w:rsidR="006F29E6" w:rsidRDefault="006F29E6" w:rsidP="001C12C8">
      <w:pPr>
        <w:spacing w:after="0" w:line="240" w:lineRule="auto"/>
        <w:jc w:val="both"/>
        <w:rPr>
          <w:rFonts w:ascii="Humnst777 BT" w:hAnsi="Humnst777 BT"/>
        </w:rPr>
      </w:pPr>
    </w:p>
    <w:p w14:paraId="7CA61EC9" w14:textId="6D22613F" w:rsidR="001C12C8" w:rsidRDefault="001C12C8" w:rsidP="001C12C8">
      <w:pPr>
        <w:spacing w:after="0" w:line="240" w:lineRule="auto"/>
        <w:jc w:val="both"/>
        <w:rPr>
          <w:rFonts w:ascii="Humnst777 BT" w:hAnsi="Humnst777 BT"/>
        </w:rPr>
      </w:pPr>
    </w:p>
    <w:p w14:paraId="5AF98E2B" w14:textId="77777777" w:rsidR="0001571C" w:rsidRDefault="0001571C" w:rsidP="001C12C8">
      <w:pPr>
        <w:spacing w:after="0" w:line="240" w:lineRule="auto"/>
        <w:jc w:val="both"/>
        <w:rPr>
          <w:rFonts w:ascii="Humnst777 BT" w:hAnsi="Humnst777 BT"/>
        </w:rPr>
      </w:pPr>
    </w:p>
    <w:p w14:paraId="0BF8121D" w14:textId="77777777" w:rsidR="001C12C8" w:rsidRPr="001C12C8" w:rsidRDefault="001C12C8" w:rsidP="001C12C8">
      <w:pPr>
        <w:shd w:val="clear" w:color="auto" w:fill="DEEAF6" w:themeFill="accent1" w:themeFillTint="33"/>
        <w:spacing w:after="0" w:line="240" w:lineRule="auto"/>
        <w:jc w:val="both"/>
        <w:rPr>
          <w:rFonts w:ascii="Humnst777 BT" w:hAnsi="Humnst777 BT"/>
          <w:b/>
        </w:rPr>
      </w:pPr>
      <w:r w:rsidRPr="001C12C8">
        <w:rPr>
          <w:rFonts w:ascii="Humnst777 BT" w:hAnsi="Humnst777 BT"/>
          <w:b/>
        </w:rPr>
        <w:lastRenderedPageBreak/>
        <w:t>How will compliance with this policy be monitored?</w:t>
      </w:r>
    </w:p>
    <w:p w14:paraId="5785A7DC" w14:textId="77777777" w:rsidR="0001571C" w:rsidRDefault="0001571C" w:rsidP="0001571C">
      <w:pPr>
        <w:spacing w:after="0" w:line="240" w:lineRule="auto"/>
        <w:jc w:val="both"/>
        <w:rPr>
          <w:rFonts w:ascii="Humnst777 BT" w:hAnsi="Humnst777 BT"/>
        </w:rPr>
      </w:pPr>
      <w:r w:rsidRPr="0001571C">
        <w:rPr>
          <w:rFonts w:ascii="Humnst777 BT" w:hAnsi="Humnst777 BT"/>
        </w:rPr>
        <w:t>Work-related experience will be built into programme design, and therefore programme modification will be required where programme change to implement that design is needed. For 2017-18, Faculty Quality Committees will monitor all programmes to ensure that they have identified the twenty credits of work-related experience and/or have made the necessary modifications.</w:t>
      </w:r>
      <w:r>
        <w:rPr>
          <w:rFonts w:ascii="Humnst777 BT" w:hAnsi="Humnst777 BT"/>
        </w:rPr>
        <w:t xml:space="preserve"> </w:t>
      </w:r>
    </w:p>
    <w:p w14:paraId="75A12A7A" w14:textId="23EF2136" w:rsidR="001C12C8" w:rsidRDefault="001C12C8" w:rsidP="001C12C8">
      <w:pPr>
        <w:spacing w:after="0" w:line="240" w:lineRule="auto"/>
        <w:jc w:val="both"/>
        <w:rPr>
          <w:rFonts w:ascii="Humnst777 BT" w:hAnsi="Humnst777 BT"/>
        </w:rPr>
      </w:pPr>
    </w:p>
    <w:p w14:paraId="27D9E491" w14:textId="77777777" w:rsidR="0001571C" w:rsidRPr="00946F6F" w:rsidRDefault="0001571C" w:rsidP="001C12C8">
      <w:pPr>
        <w:spacing w:after="0" w:line="240" w:lineRule="auto"/>
        <w:jc w:val="both"/>
        <w:rPr>
          <w:rFonts w:ascii="Humnst777 BT" w:hAnsi="Humnst777 BT"/>
        </w:rPr>
      </w:pPr>
    </w:p>
    <w:p w14:paraId="42E784FA" w14:textId="77777777" w:rsidR="006F29E6" w:rsidRPr="00785E67" w:rsidRDefault="006F29E6" w:rsidP="001C12C8">
      <w:pPr>
        <w:shd w:val="clear" w:color="auto" w:fill="DEEAF6" w:themeFill="accent1" w:themeFillTint="33"/>
        <w:spacing w:after="0" w:line="240" w:lineRule="auto"/>
        <w:jc w:val="both"/>
        <w:rPr>
          <w:rFonts w:ascii="Humnst777 BT" w:hAnsi="Humnst777 BT"/>
          <w:b/>
        </w:rPr>
      </w:pPr>
      <w:r w:rsidRPr="00785E67">
        <w:rPr>
          <w:rFonts w:ascii="Humnst777 BT" w:hAnsi="Humnst777 BT"/>
          <w:b/>
        </w:rPr>
        <w:t>Who can I talk to about developing our approach to WRE?</w:t>
      </w:r>
    </w:p>
    <w:p w14:paraId="46E551FF" w14:textId="31487558" w:rsidR="006F29E6" w:rsidRPr="00946F6F" w:rsidRDefault="00111D9B" w:rsidP="001C12C8">
      <w:pPr>
        <w:spacing w:after="0" w:line="240" w:lineRule="auto"/>
        <w:jc w:val="both"/>
        <w:rPr>
          <w:rFonts w:ascii="Humnst777 BT" w:hAnsi="Humnst777 BT"/>
        </w:rPr>
      </w:pPr>
      <w:r>
        <w:rPr>
          <w:rFonts w:ascii="Humnst777 BT" w:hAnsi="Humnst777 BT"/>
        </w:rPr>
        <w:t>Employability and Skills Managers</w:t>
      </w:r>
      <w:r w:rsidR="006F29E6" w:rsidRPr="00946F6F">
        <w:rPr>
          <w:rFonts w:ascii="Humnst777 BT" w:hAnsi="Humnst777 BT"/>
        </w:rPr>
        <w:t>, Faculty Directors of Learning and Teaching, and Learning, Teaching Enhancement can support you to integrate employability in</w:t>
      </w:r>
      <w:r w:rsidR="003E317C">
        <w:rPr>
          <w:rFonts w:ascii="Humnst777 BT" w:hAnsi="Humnst777 BT"/>
        </w:rPr>
        <w:t>to</w:t>
      </w:r>
      <w:r w:rsidR="006F29E6" w:rsidRPr="00946F6F">
        <w:rPr>
          <w:rFonts w:ascii="Humnst777 BT" w:hAnsi="Humnst777 BT"/>
        </w:rPr>
        <w:t xml:space="preserve"> your curriculum</w:t>
      </w:r>
    </w:p>
    <w:p w14:paraId="6687820B" w14:textId="77777777" w:rsidR="006F29E6" w:rsidRPr="00946F6F" w:rsidRDefault="006F29E6" w:rsidP="001C12C8">
      <w:pPr>
        <w:spacing w:after="0" w:line="240" w:lineRule="auto"/>
        <w:jc w:val="both"/>
        <w:rPr>
          <w:rFonts w:ascii="Humnst777 BT" w:hAnsi="Humnst777 BT"/>
        </w:rPr>
      </w:pPr>
    </w:p>
    <w:p w14:paraId="7794DB1A" w14:textId="77777777" w:rsidR="006F29E6" w:rsidRPr="00946F6F" w:rsidRDefault="006F29E6" w:rsidP="001C12C8">
      <w:pPr>
        <w:spacing w:after="0" w:line="240" w:lineRule="auto"/>
        <w:jc w:val="both"/>
        <w:rPr>
          <w:rFonts w:ascii="Humnst777 BT" w:hAnsi="Humnst777 BT"/>
        </w:rPr>
      </w:pPr>
    </w:p>
    <w:p w14:paraId="24A65EFF" w14:textId="77777777" w:rsidR="006F29E6" w:rsidRPr="00785E67" w:rsidRDefault="00785E67" w:rsidP="001C12C8">
      <w:pPr>
        <w:shd w:val="clear" w:color="auto" w:fill="DEEAF6" w:themeFill="accent1" w:themeFillTint="33"/>
        <w:spacing w:after="0" w:line="240" w:lineRule="auto"/>
        <w:jc w:val="both"/>
        <w:rPr>
          <w:rFonts w:ascii="Humnst777 BT" w:hAnsi="Humnst777 BT"/>
          <w:b/>
        </w:rPr>
      </w:pPr>
      <w:r w:rsidRPr="00785E67">
        <w:rPr>
          <w:rFonts w:ascii="Humnst777 BT" w:hAnsi="Humnst777 BT"/>
          <w:b/>
        </w:rPr>
        <w:t>Where can I find out more?</w:t>
      </w:r>
    </w:p>
    <w:p w14:paraId="1D971B81" w14:textId="7FB9251C" w:rsidR="00CE2CB6" w:rsidRPr="00CE2CB6" w:rsidRDefault="00111D9B" w:rsidP="001C12C8">
      <w:pPr>
        <w:jc w:val="both"/>
        <w:rPr>
          <w:rFonts w:ascii="Humnst777 BT" w:hAnsi="Humnst777 BT"/>
        </w:rPr>
      </w:pPr>
      <w:r>
        <w:rPr>
          <w:rFonts w:ascii="Humnst777 BT" w:hAnsi="Humnst777 BT"/>
        </w:rPr>
        <w:t>Currently, the Employability and Skills team</w:t>
      </w:r>
      <w:r w:rsidR="00785E67" w:rsidRPr="00CE2CB6">
        <w:rPr>
          <w:rFonts w:ascii="Humnst777 BT" w:hAnsi="Humnst777 BT"/>
        </w:rPr>
        <w:t xml:space="preserve"> </w:t>
      </w:r>
      <w:r w:rsidR="00CE2CB6" w:rsidRPr="00CE2CB6">
        <w:rPr>
          <w:rFonts w:ascii="Humnst777 BT" w:hAnsi="Humnst777 BT"/>
        </w:rPr>
        <w:t>is developing a bank of careers, work-related experience, enterprise, and employability materials to support staff to be made available on Blackboard via the Academic Support tab. Please contact</w:t>
      </w:r>
      <w:r>
        <w:rPr>
          <w:rFonts w:ascii="Humnst777 BT" w:hAnsi="Humnst777 BT"/>
        </w:rPr>
        <w:t xml:space="preserve"> </w:t>
      </w:r>
      <w:bookmarkStart w:id="0" w:name="_GoBack"/>
      <w:bookmarkEnd w:id="0"/>
      <w:r>
        <w:rPr>
          <w:rFonts w:ascii="Humnst777 BT" w:hAnsi="Humnst777 BT"/>
        </w:rPr>
        <w:fldChar w:fldCharType="begin"/>
      </w:r>
      <w:r>
        <w:rPr>
          <w:rFonts w:ascii="Humnst777 BT" w:hAnsi="Humnst777 BT"/>
        </w:rPr>
        <w:instrText xml:space="preserve"> HYPERLINK "mailto:careers@canterbury.ac.uk" </w:instrText>
      </w:r>
      <w:r>
        <w:rPr>
          <w:rFonts w:ascii="Humnst777 BT" w:hAnsi="Humnst777 BT"/>
        </w:rPr>
        <w:fldChar w:fldCharType="separate"/>
      </w:r>
      <w:r w:rsidRPr="00956CEA">
        <w:rPr>
          <w:rStyle w:val="Hyperlink"/>
          <w:rFonts w:ascii="Humnst777 BT" w:hAnsi="Humnst777 BT"/>
        </w:rPr>
        <w:t>careers@canterbury.ac.uk</w:t>
      </w:r>
      <w:r>
        <w:rPr>
          <w:rFonts w:ascii="Humnst777 BT" w:hAnsi="Humnst777 BT"/>
        </w:rPr>
        <w:fldChar w:fldCharType="end"/>
      </w:r>
      <w:r>
        <w:rPr>
          <w:rFonts w:ascii="Humnst777 BT" w:hAnsi="Humnst777 BT"/>
        </w:rPr>
        <w:t xml:space="preserve"> </w:t>
      </w:r>
      <w:r w:rsidR="00CE2CB6" w:rsidRPr="00CE2CB6">
        <w:rPr>
          <w:rFonts w:ascii="Humnst777 BT" w:hAnsi="Humnst777 BT"/>
        </w:rPr>
        <w:t xml:space="preserve">for further information. </w:t>
      </w:r>
    </w:p>
    <w:p w14:paraId="4906E68D" w14:textId="77777777" w:rsidR="00785E67" w:rsidRPr="00CE2CB6" w:rsidRDefault="00785E67" w:rsidP="001C12C8">
      <w:pPr>
        <w:spacing w:after="0" w:line="240" w:lineRule="auto"/>
        <w:jc w:val="both"/>
        <w:rPr>
          <w:rFonts w:ascii="Humnst777 BT" w:hAnsi="Humnst777 BT"/>
        </w:rPr>
      </w:pPr>
    </w:p>
    <w:p w14:paraId="28C77C07" w14:textId="77777777" w:rsidR="009A1C43" w:rsidRPr="00946F6F" w:rsidRDefault="009A1C43" w:rsidP="001C12C8">
      <w:pPr>
        <w:spacing w:after="0" w:line="240" w:lineRule="auto"/>
        <w:jc w:val="both"/>
        <w:rPr>
          <w:rFonts w:ascii="Humnst777 BT" w:hAnsi="Humnst777 BT"/>
        </w:rPr>
      </w:pPr>
    </w:p>
    <w:sectPr w:rsidR="009A1C43" w:rsidRPr="00946F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596DD" w14:textId="77777777" w:rsidR="006F29E6" w:rsidRDefault="006F29E6" w:rsidP="006F29E6">
      <w:pPr>
        <w:spacing w:after="0" w:line="240" w:lineRule="auto"/>
      </w:pPr>
      <w:r>
        <w:separator/>
      </w:r>
    </w:p>
  </w:endnote>
  <w:endnote w:type="continuationSeparator" w:id="0">
    <w:p w14:paraId="7294764F" w14:textId="77777777" w:rsidR="006F29E6" w:rsidRDefault="006F29E6" w:rsidP="006F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umnst777 BT">
    <w:panose1 w:val="020B0603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E428E" w14:textId="77777777" w:rsidR="006F29E6" w:rsidRDefault="006F29E6" w:rsidP="006F29E6">
      <w:pPr>
        <w:spacing w:after="0" w:line="240" w:lineRule="auto"/>
      </w:pPr>
      <w:r>
        <w:separator/>
      </w:r>
    </w:p>
  </w:footnote>
  <w:footnote w:type="continuationSeparator" w:id="0">
    <w:p w14:paraId="13E4AFCE" w14:textId="77777777" w:rsidR="006F29E6" w:rsidRDefault="006F29E6" w:rsidP="006F29E6">
      <w:pPr>
        <w:spacing w:after="0" w:line="240" w:lineRule="auto"/>
      </w:pPr>
      <w:r>
        <w:continuationSeparator/>
      </w:r>
    </w:p>
  </w:footnote>
  <w:footnote w:id="1">
    <w:p w14:paraId="107B77D5" w14:textId="77777777" w:rsidR="002C3FBB" w:rsidRDefault="002C3FBB" w:rsidP="002C3FBB">
      <w:pPr>
        <w:pStyle w:val="FootnoteText"/>
      </w:pPr>
      <w:r>
        <w:rPr>
          <w:rStyle w:val="FootnoteReference"/>
        </w:rPr>
        <w:footnoteRef/>
      </w:r>
      <w:r>
        <w:t xml:space="preserve"> </w:t>
      </w:r>
      <w:proofErr w:type="spellStart"/>
      <w:r>
        <w:t>Jonesa</w:t>
      </w:r>
      <w:proofErr w:type="spellEnd"/>
      <w:r>
        <w:t>, Green and Higson (2015) Do work placements improve final year academic performance or do high-calibre students choose to do work placements? Studies in Higher Education</w:t>
      </w:r>
    </w:p>
    <w:p w14:paraId="6BB0F221" w14:textId="77777777" w:rsidR="002C3FBB" w:rsidRDefault="002C3FBB" w:rsidP="002C3FBB">
      <w:pPr>
        <w:pStyle w:val="FootnoteText"/>
      </w:pPr>
      <w:r w:rsidRPr="00CD0982">
        <w:footnoteRef/>
      </w:r>
      <w:r>
        <w:t xml:space="preserve"> “Over a third of recruiters who took part in the research repeated their warnings from previous years – that graduates who have had no previous work experience at all are unlikely to be successful during the selection process and have little or no chance of receiving a job offer for their organisations’ graduate programmes.” High Fliers’ Graduate Jobs Survey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114A4"/>
    <w:multiLevelType w:val="hybridMultilevel"/>
    <w:tmpl w:val="FD2C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50"/>
    <w:rsid w:val="0001571C"/>
    <w:rsid w:val="00111D9B"/>
    <w:rsid w:val="00161051"/>
    <w:rsid w:val="001C12C8"/>
    <w:rsid w:val="002C3FBB"/>
    <w:rsid w:val="003E317C"/>
    <w:rsid w:val="004D7450"/>
    <w:rsid w:val="006F29E6"/>
    <w:rsid w:val="0075066A"/>
    <w:rsid w:val="00785E67"/>
    <w:rsid w:val="007E0A3E"/>
    <w:rsid w:val="00946F6F"/>
    <w:rsid w:val="009A1C43"/>
    <w:rsid w:val="00CE2CB6"/>
    <w:rsid w:val="00D352D1"/>
    <w:rsid w:val="00D536EE"/>
    <w:rsid w:val="00FC7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D665"/>
  <w15:chartTrackingRefBased/>
  <w15:docId w15:val="{29A13B83-112F-4A8B-A87F-CCBA57AF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6F29E6"/>
    <w:rPr>
      <w:vertAlign w:val="superscript"/>
    </w:rPr>
  </w:style>
  <w:style w:type="paragraph" w:customStyle="1" w:styleId="Default">
    <w:name w:val="Default"/>
    <w:rsid w:val="006F29E6"/>
    <w:pPr>
      <w:autoSpaceDE w:val="0"/>
      <w:autoSpaceDN w:val="0"/>
      <w:adjustRightInd w:val="0"/>
      <w:spacing w:after="0" w:line="240" w:lineRule="auto"/>
    </w:pPr>
    <w:rPr>
      <w:rFonts w:ascii="HelveticaNeueLT Std Med" w:hAnsi="HelveticaNeueLT Std Med" w:cs="HelveticaNeueLT Std Med"/>
      <w:color w:val="000000"/>
      <w:sz w:val="24"/>
      <w:szCs w:val="24"/>
    </w:rPr>
  </w:style>
  <w:style w:type="paragraph" w:styleId="ListParagraph">
    <w:name w:val="List Paragraph"/>
    <w:basedOn w:val="Normal"/>
    <w:uiPriority w:val="34"/>
    <w:qFormat/>
    <w:rsid w:val="002C3FBB"/>
    <w:pPr>
      <w:ind w:left="720"/>
      <w:contextualSpacing/>
    </w:pPr>
  </w:style>
  <w:style w:type="paragraph" w:styleId="FootnoteText">
    <w:name w:val="footnote text"/>
    <w:basedOn w:val="Normal"/>
    <w:link w:val="FootnoteTextChar"/>
    <w:uiPriority w:val="99"/>
    <w:semiHidden/>
    <w:unhideWhenUsed/>
    <w:rsid w:val="002C3F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FBB"/>
    <w:rPr>
      <w:sz w:val="20"/>
      <w:szCs w:val="20"/>
    </w:rPr>
  </w:style>
  <w:style w:type="character" w:styleId="CommentReference">
    <w:name w:val="annotation reference"/>
    <w:basedOn w:val="DefaultParagraphFont"/>
    <w:uiPriority w:val="99"/>
    <w:semiHidden/>
    <w:unhideWhenUsed/>
    <w:rsid w:val="00CE2CB6"/>
    <w:rPr>
      <w:sz w:val="16"/>
      <w:szCs w:val="16"/>
    </w:rPr>
  </w:style>
  <w:style w:type="paragraph" w:styleId="CommentText">
    <w:name w:val="annotation text"/>
    <w:basedOn w:val="Normal"/>
    <w:link w:val="CommentTextChar"/>
    <w:uiPriority w:val="99"/>
    <w:semiHidden/>
    <w:unhideWhenUsed/>
    <w:rsid w:val="00CE2CB6"/>
    <w:pPr>
      <w:spacing w:line="240" w:lineRule="auto"/>
    </w:pPr>
    <w:rPr>
      <w:sz w:val="20"/>
      <w:szCs w:val="20"/>
    </w:rPr>
  </w:style>
  <w:style w:type="character" w:customStyle="1" w:styleId="CommentTextChar">
    <w:name w:val="Comment Text Char"/>
    <w:basedOn w:val="DefaultParagraphFont"/>
    <w:link w:val="CommentText"/>
    <w:uiPriority w:val="99"/>
    <w:semiHidden/>
    <w:rsid w:val="00CE2CB6"/>
    <w:rPr>
      <w:sz w:val="20"/>
      <w:szCs w:val="20"/>
    </w:rPr>
  </w:style>
  <w:style w:type="paragraph" w:styleId="BalloonText">
    <w:name w:val="Balloon Text"/>
    <w:basedOn w:val="Normal"/>
    <w:link w:val="BalloonTextChar"/>
    <w:uiPriority w:val="99"/>
    <w:semiHidden/>
    <w:unhideWhenUsed/>
    <w:rsid w:val="00CE2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CB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317C"/>
    <w:rPr>
      <w:b/>
      <w:bCs/>
    </w:rPr>
  </w:style>
  <w:style w:type="character" w:customStyle="1" w:styleId="CommentSubjectChar">
    <w:name w:val="Comment Subject Char"/>
    <w:basedOn w:val="CommentTextChar"/>
    <w:link w:val="CommentSubject"/>
    <w:uiPriority w:val="99"/>
    <w:semiHidden/>
    <w:rsid w:val="003E317C"/>
    <w:rPr>
      <w:b/>
      <w:bCs/>
      <w:sz w:val="20"/>
      <w:szCs w:val="20"/>
    </w:rPr>
  </w:style>
  <w:style w:type="character" w:styleId="Hyperlink">
    <w:name w:val="Hyperlink"/>
    <w:basedOn w:val="DefaultParagraphFont"/>
    <w:uiPriority w:val="99"/>
    <w:unhideWhenUsed/>
    <w:rsid w:val="00111D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87925EC5</Template>
  <TotalTime>11</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Gleaves, Helen (helen.gleaves@canterbury.ac.uk)</dc:creator>
  <cp:keywords/>
  <dc:description/>
  <cp:lastModifiedBy>Odev, Susan (susan.odev@canterbury.ac.uk)</cp:lastModifiedBy>
  <cp:revision>4</cp:revision>
  <dcterms:created xsi:type="dcterms:W3CDTF">2017-06-23T05:54:00Z</dcterms:created>
  <dcterms:modified xsi:type="dcterms:W3CDTF">2018-02-21T11:52:00Z</dcterms:modified>
</cp:coreProperties>
</file>