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BF" w:rsidRPr="00E510DB" w:rsidRDefault="00A225BF" w:rsidP="00A225BF">
      <w:pPr>
        <w:pStyle w:val="Default"/>
        <w:jc w:val="center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>SPECIAL REGULATIONS: BA (HONS) SOCIAL WORK STUDIES</w:t>
      </w:r>
    </w:p>
    <w:p w:rsidR="00A225BF" w:rsidRPr="00E510DB" w:rsidRDefault="00A225BF" w:rsidP="00A225BF">
      <w:pPr>
        <w:pStyle w:val="Default"/>
        <w:jc w:val="center"/>
        <w:rPr>
          <w:color w:val="244061" w:themeColor="accent1" w:themeShade="80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INTRODUCTION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The Special Regulations relate only to the following programme: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A225B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BA (Hons) Social Work Studies </w:t>
      </w:r>
    </w:p>
    <w:p w:rsidR="00A225BF" w:rsidRDefault="00A225BF" w:rsidP="00A225BF">
      <w:pPr>
        <w:pStyle w:val="Default"/>
        <w:ind w:firstLine="720"/>
        <w:rPr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ADMISSION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The requirements for admissions are those set out in the Regulation and Credit Framework for the Conferment of Awards; the additional requirements are set out below.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ENTRY REQUIREMENTS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The programme will ensure that in addition to the University’s own admission requirements for the degree, all entrants have achieved at least level 2 in English and mathematics. This would normally be equivalent to grade C in the GCSE examination in English and mathematics.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Successful applicants must meet communicating and comprehension skills to International English Language Testing Systems (IELTS) at level 7.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Pr="00E510DB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All applicants must confirm prior to interview/offer decision making that they have the ability to use basic IT facilities, including word processing, internet browsing and use of email.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All applicants are required to meet the occupational health screening requirements and satisfactorily complete the Disclosure and Barring Service check (DBS). </w:t>
      </w:r>
    </w:p>
    <w:p w:rsidR="00A225BF" w:rsidRPr="00E510DB" w:rsidRDefault="00A225BF" w:rsidP="00A225BF">
      <w:pPr>
        <w:pStyle w:val="Default"/>
        <w:rPr>
          <w:color w:val="244061" w:themeColor="accent1" w:themeShade="80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SELECTION PROCEDURES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Applicants will attend a selection day where they will take part in a series of activities aimed at assessing their ability and suitability to undertake social work education. </w:t>
      </w:r>
    </w:p>
    <w:p w:rsidR="00A225BF" w:rsidRDefault="00A225BF" w:rsidP="00A225BF">
      <w:pPr>
        <w:pStyle w:val="Default"/>
        <w:rPr>
          <w:sz w:val="22"/>
          <w:szCs w:val="22"/>
        </w:rPr>
      </w:pPr>
    </w:p>
    <w:p w:rsidR="00A225BF" w:rsidRPr="00E510DB" w:rsidRDefault="00A225BF" w:rsidP="00A225BF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Selection activities include an observed group exercise, assessing ability to communicate verbally, their value base, ability to work with others and openness to alternative points of view, a timed written test, assessing the ability to communicate in written English, </w:t>
      </w:r>
      <w:r w:rsidRPr="00E510DB">
        <w:rPr>
          <w:color w:val="auto"/>
          <w:sz w:val="22"/>
          <w:szCs w:val="22"/>
        </w:rPr>
        <w:t xml:space="preserve">and an individual interview to assess that they meet the Professional Capabilities Framework (PCF) entry level and progression to final year level descriptors.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ASSESSMENT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Students must pass the Readiness for Direct Practice requirements and the Holistic Assessment Report Template. These assessments will be graded as either 'Pass (P)' or 'Fail (F)'. </w:t>
      </w:r>
    </w:p>
    <w:p w:rsidR="00E510DB" w:rsidRDefault="00E510DB" w:rsidP="00A225B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225BF" w:rsidRPr="00E510DB" w:rsidRDefault="00A225BF" w:rsidP="00E510DB">
      <w:pPr>
        <w:pStyle w:val="Default"/>
        <w:numPr>
          <w:ilvl w:val="0"/>
          <w:numId w:val="1"/>
        </w:numPr>
        <w:ind w:left="426" w:hanging="426"/>
        <w:rPr>
          <w:rFonts w:cs="Calibri"/>
          <w:color w:val="auto"/>
          <w:sz w:val="22"/>
          <w:szCs w:val="22"/>
        </w:rPr>
      </w:pPr>
      <w:r w:rsidRPr="00E510DB">
        <w:rPr>
          <w:rFonts w:cs="Calibri"/>
          <w:color w:val="auto"/>
          <w:sz w:val="22"/>
          <w:szCs w:val="22"/>
        </w:rPr>
        <w:t xml:space="preserve">All assessments must be passed. This includes theoretical and practice assessments. </w:t>
      </w:r>
    </w:p>
    <w:p w:rsidR="00A225BF" w:rsidRDefault="00A225BF" w:rsidP="00A225B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510DB" w:rsidRDefault="00E510DB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>RE</w:t>
      </w:r>
      <w:r w:rsidR="00E510DB">
        <w:rPr>
          <w:b/>
          <w:bCs/>
          <w:color w:val="244061" w:themeColor="accent1" w:themeShade="80"/>
          <w:sz w:val="22"/>
          <w:szCs w:val="22"/>
        </w:rPr>
        <w:t xml:space="preserve">ASSESSMENT </w:t>
      </w:r>
      <w:r w:rsidRPr="00E510DB">
        <w:rPr>
          <w:b/>
          <w:bCs/>
          <w:color w:val="244061" w:themeColor="accent1" w:themeShade="80"/>
          <w:sz w:val="22"/>
          <w:szCs w:val="22"/>
        </w:rPr>
        <w:t xml:space="preserve">ARRANGEMENTS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 student may be reassessed in a practice assessment on one occasion only for each practice assessment.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student who fails a practice assessment after all module reassessment opportunities have been exhausted will not be allowed to repeat the module and will be required to withdraw from the programme.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COMPENSATION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modules within the programme are excluded from compensation. All programme modules are required in order for students to meet the HCPC Standards of Practice; therefore students must pass all modules. This is in reference to the Health and Care Professions Council Standards of Education and Training (SETs, see standards 6.1, 6.5).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Pr="00E510DB" w:rsidRDefault="00A225BF" w:rsidP="00A225BF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DEGREE CLASSIFICATION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Default="00A225BF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Given that the </w:t>
      </w:r>
      <w:r>
        <w:rPr>
          <w:i/>
          <w:iCs/>
          <w:color w:val="auto"/>
          <w:sz w:val="22"/>
          <w:szCs w:val="22"/>
        </w:rPr>
        <w:t xml:space="preserve">Practice Learning in Statutory Settings </w:t>
      </w:r>
      <w:r>
        <w:rPr>
          <w:color w:val="auto"/>
          <w:sz w:val="22"/>
          <w:szCs w:val="22"/>
        </w:rPr>
        <w:t xml:space="preserve">module is graded as pass/fail, degree classifications will be calculated using the 100 credits gained from the remaining 5 modules and will be rounded to the nearest integer, as follows: </w:t>
      </w:r>
    </w:p>
    <w:p w:rsidR="00E510DB" w:rsidRDefault="00E510DB" w:rsidP="00A225BF">
      <w:pPr>
        <w:pStyle w:val="Default"/>
        <w:rPr>
          <w:color w:val="auto"/>
          <w:sz w:val="22"/>
          <w:szCs w:val="22"/>
        </w:rPr>
      </w:pPr>
    </w:p>
    <w:p w:rsidR="00A225BF" w:rsidRPr="00E510DB" w:rsidRDefault="00A225BF" w:rsidP="00E510DB">
      <w:pPr>
        <w:pStyle w:val="Default"/>
        <w:spacing w:after="171"/>
        <w:ind w:left="709" w:hanging="142"/>
        <w:rPr>
          <w:color w:val="auto"/>
          <w:sz w:val="22"/>
          <w:szCs w:val="22"/>
        </w:rPr>
      </w:pPr>
      <w:r w:rsidRPr="00E510DB">
        <w:rPr>
          <w:rFonts w:cs="Calibri"/>
          <w:color w:val="auto"/>
          <w:sz w:val="22"/>
          <w:szCs w:val="22"/>
        </w:rPr>
        <w:t xml:space="preserve">a) </w:t>
      </w:r>
      <w:r w:rsidRPr="00E510DB">
        <w:rPr>
          <w:color w:val="auto"/>
          <w:sz w:val="22"/>
          <w:szCs w:val="22"/>
        </w:rPr>
        <w:t xml:space="preserve">where the final mark is 70% and above, the award of First Class Honours will be made; </w:t>
      </w:r>
    </w:p>
    <w:p w:rsidR="00A225BF" w:rsidRPr="00E510DB" w:rsidRDefault="00A225BF" w:rsidP="00E510DB">
      <w:pPr>
        <w:pStyle w:val="Default"/>
        <w:spacing w:after="171"/>
        <w:ind w:left="709" w:hanging="142"/>
        <w:rPr>
          <w:color w:val="auto"/>
          <w:sz w:val="22"/>
          <w:szCs w:val="22"/>
        </w:rPr>
      </w:pPr>
      <w:r w:rsidRPr="00E510DB">
        <w:rPr>
          <w:rFonts w:cs="Calibri"/>
          <w:color w:val="auto"/>
          <w:sz w:val="22"/>
          <w:szCs w:val="22"/>
        </w:rPr>
        <w:t xml:space="preserve">b) </w:t>
      </w:r>
      <w:r w:rsidRPr="00E510DB">
        <w:rPr>
          <w:color w:val="auto"/>
          <w:sz w:val="22"/>
          <w:szCs w:val="22"/>
        </w:rPr>
        <w:t xml:space="preserve">where the final mark is 60% - 69%, the award of Upper Second Class Honours will be made; </w:t>
      </w:r>
    </w:p>
    <w:p w:rsidR="00A225BF" w:rsidRPr="00E510DB" w:rsidRDefault="00A225BF" w:rsidP="00E510DB">
      <w:pPr>
        <w:pStyle w:val="Default"/>
        <w:spacing w:after="171"/>
        <w:ind w:left="709" w:hanging="142"/>
        <w:rPr>
          <w:color w:val="auto"/>
          <w:sz w:val="22"/>
          <w:szCs w:val="22"/>
        </w:rPr>
      </w:pPr>
      <w:r w:rsidRPr="00E510DB">
        <w:rPr>
          <w:rFonts w:cs="Calibri"/>
          <w:color w:val="auto"/>
          <w:sz w:val="22"/>
          <w:szCs w:val="22"/>
        </w:rPr>
        <w:t xml:space="preserve">c) </w:t>
      </w:r>
      <w:r w:rsidRPr="00E510DB">
        <w:rPr>
          <w:color w:val="auto"/>
          <w:sz w:val="22"/>
          <w:szCs w:val="22"/>
        </w:rPr>
        <w:t xml:space="preserve">where the final mark is 50% - 59% the award of Lower Second Class Honours will be made; </w:t>
      </w:r>
    </w:p>
    <w:p w:rsidR="00A225BF" w:rsidRPr="00E510DB" w:rsidRDefault="00A225BF" w:rsidP="00E510DB">
      <w:pPr>
        <w:pStyle w:val="Default"/>
        <w:ind w:left="709" w:hanging="142"/>
        <w:rPr>
          <w:color w:val="auto"/>
          <w:sz w:val="22"/>
          <w:szCs w:val="22"/>
        </w:rPr>
      </w:pPr>
      <w:r w:rsidRPr="00E510DB">
        <w:rPr>
          <w:rFonts w:cs="Calibri"/>
          <w:color w:val="auto"/>
          <w:sz w:val="22"/>
          <w:szCs w:val="22"/>
        </w:rPr>
        <w:t xml:space="preserve">d) </w:t>
      </w:r>
      <w:r w:rsidRPr="00E510DB">
        <w:rPr>
          <w:color w:val="auto"/>
          <w:sz w:val="22"/>
          <w:szCs w:val="22"/>
        </w:rPr>
        <w:t xml:space="preserve">where the final mark is 40% - 49% the award of Third Class Honours will be made </w:t>
      </w:r>
    </w:p>
    <w:p w:rsidR="00A225BF" w:rsidRDefault="00A225BF" w:rsidP="00A225BF">
      <w:pPr>
        <w:pStyle w:val="Default"/>
        <w:rPr>
          <w:color w:val="auto"/>
          <w:sz w:val="22"/>
          <w:szCs w:val="22"/>
        </w:rPr>
      </w:pPr>
    </w:p>
    <w:p w:rsidR="00A225BF" w:rsidRPr="00E510DB" w:rsidRDefault="00A225BF" w:rsidP="00E510DB">
      <w:pPr>
        <w:pStyle w:val="Default"/>
        <w:keepNext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t xml:space="preserve">EXIT AWARDS NOT LEADING TO PROFESSIONAL REGISTRATION </w:t>
      </w:r>
    </w:p>
    <w:p w:rsidR="00A225BF" w:rsidRDefault="00A225BF" w:rsidP="00E510DB">
      <w:pPr>
        <w:pStyle w:val="Default"/>
        <w:keepNext/>
        <w:rPr>
          <w:color w:val="auto"/>
          <w:sz w:val="22"/>
          <w:szCs w:val="22"/>
        </w:rPr>
      </w:pPr>
    </w:p>
    <w:p w:rsidR="00E510DB" w:rsidRDefault="00A225BF" w:rsidP="00E510DB">
      <w:pPr>
        <w:pStyle w:val="Default"/>
        <w:numPr>
          <w:ilvl w:val="0"/>
          <w:numId w:val="1"/>
        </w:numPr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Aegrotat awards may be offered at the discretion of the Board of Examiners as outlined in the regulations; however such awards would not provide eligibility to apply for admission to the Health &amp; Care Professions Council register.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510DB" w:rsidRDefault="00E510DB" w:rsidP="00E510DB">
      <w:pPr>
        <w:pStyle w:val="Default"/>
        <w:keepNext/>
        <w:rPr>
          <w:rFonts w:ascii="Calibri" w:hAnsi="Calibri" w:cs="Calibri"/>
          <w:color w:val="auto"/>
          <w:sz w:val="22"/>
          <w:szCs w:val="22"/>
        </w:rPr>
      </w:pPr>
    </w:p>
    <w:p w:rsidR="00E510DB" w:rsidRPr="00E510DB" w:rsidRDefault="00E510DB" w:rsidP="00E510DB">
      <w:pPr>
        <w:pStyle w:val="Default"/>
        <w:keepNext/>
        <w:rPr>
          <w:b/>
          <w:bCs/>
          <w:color w:val="244061" w:themeColor="accent1" w:themeShade="80"/>
          <w:sz w:val="22"/>
          <w:szCs w:val="22"/>
        </w:rPr>
      </w:pPr>
      <w:r w:rsidRPr="00E510DB">
        <w:rPr>
          <w:b/>
          <w:bCs/>
          <w:color w:val="244061" w:themeColor="accent1" w:themeShade="80"/>
          <w:sz w:val="22"/>
          <w:szCs w:val="22"/>
        </w:rPr>
        <w:lastRenderedPageBreak/>
        <w:t xml:space="preserve">EXTERNAL EXAMINERS </w:t>
      </w:r>
    </w:p>
    <w:p w:rsidR="00E510DB" w:rsidRDefault="00E510DB" w:rsidP="00E510DB">
      <w:pPr>
        <w:pStyle w:val="Default"/>
        <w:keepNext/>
        <w:rPr>
          <w:rFonts w:cstheme="minorBidi"/>
          <w:color w:val="auto"/>
          <w:sz w:val="22"/>
          <w:szCs w:val="22"/>
        </w:rPr>
      </w:pPr>
    </w:p>
    <w:p w:rsidR="00E510DB" w:rsidRDefault="00E510DB" w:rsidP="00E510DB">
      <w:pPr>
        <w:pStyle w:val="Default"/>
        <w:numPr>
          <w:ilvl w:val="0"/>
          <w:numId w:val="1"/>
        </w:numP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 least one external examiner appointed to the programme must be appropriately experienced and qualified in the relevant area of practice and, unless other arrangements are agreed with the Health &amp; Care Professions Council, be from the relevant part of the Register. </w:t>
      </w:r>
    </w:p>
    <w:p w:rsidR="00E510DB" w:rsidRDefault="00E510DB" w:rsidP="00E510DB">
      <w:pPr>
        <w:pStyle w:val="Default"/>
        <w:keepNext/>
        <w:rPr>
          <w:color w:val="auto"/>
          <w:sz w:val="22"/>
          <w:szCs w:val="22"/>
        </w:rPr>
      </w:pPr>
    </w:p>
    <w:p w:rsidR="00E510DB" w:rsidRDefault="00E510DB" w:rsidP="00E510DB">
      <w:pPr>
        <w:pStyle w:val="Default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Approved by Academic Board, 23/08/2016.</w:t>
      </w:r>
    </w:p>
    <w:p w:rsidR="00E510DB" w:rsidRDefault="00E510DB" w:rsidP="00E510DB">
      <w:pPr>
        <w:pStyle w:val="Default"/>
        <w:keepNext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A225BF" w:rsidRDefault="00A225BF" w:rsidP="00E510DB">
      <w:pPr>
        <w:pStyle w:val="Default"/>
        <w:keepNext/>
        <w:rPr>
          <w:color w:val="auto"/>
          <w:sz w:val="22"/>
          <w:szCs w:val="22"/>
        </w:rPr>
      </w:pPr>
    </w:p>
    <w:p w:rsidR="008775C0" w:rsidRDefault="00E510DB" w:rsidP="00E510DB">
      <w:pPr>
        <w:keepNext/>
      </w:pPr>
    </w:p>
    <w:sectPr w:rsidR="008775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DB" w:rsidRDefault="00E510DB" w:rsidP="00E510DB">
      <w:pPr>
        <w:spacing w:after="0" w:line="240" w:lineRule="auto"/>
      </w:pPr>
      <w:r>
        <w:separator/>
      </w:r>
    </w:p>
  </w:endnote>
  <w:endnote w:type="continuationSeparator" w:id="0">
    <w:p w:rsidR="00E510DB" w:rsidRDefault="00E510DB" w:rsidP="00E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57040"/>
      <w:docPartObj>
        <w:docPartGallery w:val="Page Numbers (Bottom of Page)"/>
        <w:docPartUnique/>
      </w:docPartObj>
    </w:sdtPr>
    <w:sdtEndPr>
      <w:rPr>
        <w:rFonts w:ascii="Humnst777 BT" w:hAnsi="Humnst777 BT"/>
        <w:noProof/>
      </w:rPr>
    </w:sdtEndPr>
    <w:sdtContent>
      <w:p w:rsidR="00E510DB" w:rsidRPr="00E510DB" w:rsidRDefault="00E510DB">
        <w:pPr>
          <w:pStyle w:val="Footer"/>
          <w:jc w:val="center"/>
          <w:rPr>
            <w:rFonts w:ascii="Humnst777 BT" w:hAnsi="Humnst777 BT"/>
          </w:rPr>
        </w:pPr>
        <w:r w:rsidRPr="00E510DB">
          <w:rPr>
            <w:rFonts w:ascii="Humnst777 BT" w:hAnsi="Humnst777 BT"/>
          </w:rPr>
          <w:fldChar w:fldCharType="begin"/>
        </w:r>
        <w:r w:rsidRPr="00E510DB">
          <w:rPr>
            <w:rFonts w:ascii="Humnst777 BT" w:hAnsi="Humnst777 BT"/>
          </w:rPr>
          <w:instrText xml:space="preserve"> PAGE   \* MERGEFORMAT </w:instrText>
        </w:r>
        <w:r w:rsidRPr="00E510DB">
          <w:rPr>
            <w:rFonts w:ascii="Humnst777 BT" w:hAnsi="Humnst777 BT"/>
          </w:rPr>
          <w:fldChar w:fldCharType="separate"/>
        </w:r>
        <w:r>
          <w:rPr>
            <w:rFonts w:ascii="Humnst777 BT" w:hAnsi="Humnst777 BT"/>
            <w:noProof/>
          </w:rPr>
          <w:t>1</w:t>
        </w:r>
        <w:r w:rsidRPr="00E510DB">
          <w:rPr>
            <w:rFonts w:ascii="Humnst777 BT" w:hAnsi="Humnst777 BT"/>
            <w:noProof/>
          </w:rPr>
          <w:fldChar w:fldCharType="end"/>
        </w:r>
      </w:p>
    </w:sdtContent>
  </w:sdt>
  <w:p w:rsidR="00E510DB" w:rsidRDefault="00E51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DB" w:rsidRDefault="00E510DB" w:rsidP="00E510DB">
      <w:pPr>
        <w:spacing w:after="0" w:line="240" w:lineRule="auto"/>
      </w:pPr>
      <w:r>
        <w:separator/>
      </w:r>
    </w:p>
  </w:footnote>
  <w:footnote w:type="continuationSeparator" w:id="0">
    <w:p w:rsidR="00E510DB" w:rsidRDefault="00E510DB" w:rsidP="00E5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2121"/>
    <w:multiLevelType w:val="hybridMultilevel"/>
    <w:tmpl w:val="639A6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F"/>
    <w:rsid w:val="00526631"/>
    <w:rsid w:val="0092150E"/>
    <w:rsid w:val="00A225BF"/>
    <w:rsid w:val="00E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CFF97-CBB4-4DA2-A5FA-5C25A60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5BF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DB"/>
  </w:style>
  <w:style w:type="paragraph" w:styleId="Footer">
    <w:name w:val="footer"/>
    <w:basedOn w:val="Normal"/>
    <w:link w:val="FooterChar"/>
    <w:uiPriority w:val="99"/>
    <w:unhideWhenUsed/>
    <w:rsid w:val="00E5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5EF90E36</Template>
  <TotalTime>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ls452</dc:creator>
  <cp:lastModifiedBy>Collins, Suzanne (suzanne.collins@canterbury.ac.uk)</cp:lastModifiedBy>
  <cp:revision>2</cp:revision>
  <dcterms:created xsi:type="dcterms:W3CDTF">2016-08-26T13:12:00Z</dcterms:created>
  <dcterms:modified xsi:type="dcterms:W3CDTF">2016-08-31T13:07:00Z</dcterms:modified>
</cp:coreProperties>
</file>