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36" w:rsidRPr="007C7A36" w:rsidRDefault="007C7A36" w:rsidP="007C7A36">
      <w:pPr>
        <w:spacing w:after="240" w:line="276" w:lineRule="auto"/>
        <w:jc w:val="center"/>
        <w:rPr>
          <w:rFonts w:ascii="Humnst777 BT" w:eastAsia="Times New Roman" w:hAnsi="Humnst777 BT" w:cs="Times New Roman"/>
          <w:b/>
          <w:color w:val="000080"/>
          <w:lang w:val="en-US"/>
        </w:rPr>
      </w:pPr>
      <w:r w:rsidRPr="007C7A36">
        <w:rPr>
          <w:rFonts w:ascii="Humnst777 BT" w:eastAsia="Times New Roman" w:hAnsi="Humnst777 BT" w:cs="Times New Roman"/>
          <w:b/>
          <w:color w:val="333399"/>
          <w:lang w:val="en-US"/>
        </w:rPr>
        <w:t>SPECIAL REGULATIONS: FOUNDATION DEGREE IN HEALTH AND SOCIAL CARE (AND ALL NAMED PATHWAYS)</w:t>
      </w:r>
    </w:p>
    <w:p w:rsidR="007C7A36" w:rsidRPr="007C7A36" w:rsidRDefault="007C7A36" w:rsidP="007C7A36">
      <w:pPr>
        <w:spacing w:before="240" w:after="240" w:line="276" w:lineRule="auto"/>
        <w:rPr>
          <w:rFonts w:ascii="Humnst777 BT" w:eastAsia="Times New Roman" w:hAnsi="Humnst777 BT" w:cs="Times New Roman"/>
          <w:b/>
          <w:color w:val="000080"/>
          <w:lang w:val="en-US"/>
        </w:rPr>
      </w:pPr>
      <w:r w:rsidRPr="007C7A36">
        <w:rPr>
          <w:rFonts w:ascii="Humnst777 BT" w:eastAsia="Times New Roman" w:hAnsi="Humnst777 BT" w:cs="Times New Roman"/>
          <w:b/>
          <w:color w:val="000080"/>
          <w:lang w:val="en-US"/>
        </w:rPr>
        <w:t>INTRODUCTION</w:t>
      </w:r>
    </w:p>
    <w:p w:rsidR="007C7A36" w:rsidRPr="007C7A36" w:rsidRDefault="007C7A36" w:rsidP="007C7A36">
      <w:pPr>
        <w:numPr>
          <w:ilvl w:val="0"/>
          <w:numId w:val="1"/>
        </w:numPr>
        <w:spacing w:after="0" w:line="240"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The Special Regulations relate only to the following programme:</w:t>
      </w:r>
    </w:p>
    <w:p w:rsidR="007C7A36" w:rsidRPr="007C7A36" w:rsidRDefault="007C7A36" w:rsidP="007C7A36">
      <w:pPr>
        <w:spacing w:after="0" w:line="240" w:lineRule="auto"/>
        <w:jc w:val="both"/>
        <w:rPr>
          <w:rFonts w:ascii="Humnst777 BT" w:eastAsia="Times New Roman" w:hAnsi="Humnst777 BT" w:cs="Times New Roman"/>
          <w:lang w:val="en-US"/>
        </w:rPr>
      </w:pPr>
    </w:p>
    <w:p w:rsidR="007C7A36" w:rsidRPr="007C7A36" w:rsidRDefault="007C7A36" w:rsidP="007C7A36">
      <w:pPr>
        <w:spacing w:after="0" w:line="240" w:lineRule="auto"/>
        <w:ind w:left="1134"/>
        <w:jc w:val="both"/>
        <w:rPr>
          <w:rFonts w:ascii="Humnst777 BT" w:eastAsia="Times New Roman" w:hAnsi="Humnst777 BT" w:cs="Times New Roman"/>
          <w:lang w:val="en-US"/>
        </w:rPr>
      </w:pPr>
      <w:r w:rsidRPr="007C7A36">
        <w:rPr>
          <w:rFonts w:ascii="Humnst777 BT" w:eastAsia="Times New Roman" w:hAnsi="Humnst777 BT" w:cs="Humnst777 BT"/>
          <w:lang w:val="en-US"/>
        </w:rPr>
        <w:t>Foundation Degree in Health and Social Care (and all named pathways)</w:t>
      </w:r>
    </w:p>
    <w:p w:rsidR="007C7A36" w:rsidRPr="007C7A36" w:rsidRDefault="007C7A36" w:rsidP="007C7A36">
      <w:pPr>
        <w:spacing w:before="240" w:after="240" w:line="276" w:lineRule="auto"/>
        <w:jc w:val="both"/>
        <w:rPr>
          <w:rFonts w:ascii="Humnst777 BT" w:eastAsia="Times New Roman" w:hAnsi="Humnst777 BT" w:cs="Times New Roman"/>
          <w:b/>
          <w:color w:val="000080"/>
          <w:lang w:val="en-US"/>
        </w:rPr>
      </w:pPr>
      <w:r w:rsidRPr="007C7A36">
        <w:rPr>
          <w:rFonts w:ascii="Humnst777 BT" w:eastAsia="Times New Roman" w:hAnsi="Humnst777 BT" w:cs="Times New Roman"/>
          <w:b/>
          <w:color w:val="000080"/>
          <w:lang w:val="en-US"/>
        </w:rPr>
        <w:t>ENTRY REQUIREMENTS</w:t>
      </w:r>
    </w:p>
    <w:p w:rsidR="007C7A36" w:rsidRPr="007C7A36" w:rsidRDefault="007C7A36" w:rsidP="007C7A36">
      <w:pPr>
        <w:numPr>
          <w:ilvl w:val="0"/>
          <w:numId w:val="1"/>
        </w:numPr>
        <w:suppressAutoHyphens/>
        <w:adjustRightInd w:val="0"/>
        <w:spacing w:after="0" w:line="240"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The requirements for admissions are those set out in the Regulation and Credit Framework for the Conferment of Awards with the exception of the following.</w:t>
      </w:r>
    </w:p>
    <w:p w:rsidR="007C7A36" w:rsidRPr="007C7A36" w:rsidRDefault="007C7A36" w:rsidP="007C7A36">
      <w:pPr>
        <w:suppressAutoHyphens/>
        <w:spacing w:after="0" w:line="240" w:lineRule="auto"/>
        <w:ind w:left="360"/>
        <w:jc w:val="both"/>
        <w:rPr>
          <w:rFonts w:ascii="Humnst777 BT" w:eastAsia="Times New Roman" w:hAnsi="Humnst777 BT" w:cs="Times New Roman"/>
          <w:lang w:val="en-US"/>
        </w:rPr>
      </w:pPr>
    </w:p>
    <w:p w:rsidR="007C7A36" w:rsidRPr="007C7A36" w:rsidRDefault="007C7A36" w:rsidP="007C7A36">
      <w:pPr>
        <w:numPr>
          <w:ilvl w:val="0"/>
          <w:numId w:val="1"/>
        </w:numPr>
        <w:tabs>
          <w:tab w:val="clear" w:pos="360"/>
        </w:tabs>
        <w:suppressAutoHyphens/>
        <w:spacing w:after="120" w:line="276" w:lineRule="auto"/>
        <w:ind w:left="426" w:hanging="426"/>
        <w:jc w:val="both"/>
        <w:rPr>
          <w:rFonts w:ascii="Humnst777 BT" w:eastAsia="Times New Roman" w:hAnsi="Humnst777 BT" w:cs="Times New Roman"/>
          <w:lang w:val="en-US"/>
        </w:rPr>
      </w:pPr>
      <w:r w:rsidRPr="007C7A36">
        <w:rPr>
          <w:rFonts w:ascii="Humnst777 BT" w:eastAsia="Times New Roman" w:hAnsi="Humnst777 BT" w:cs="Times New Roman"/>
          <w:lang w:val="en-US"/>
        </w:rPr>
        <w:t>In addition to the University’s standards entry requirements for undergraduate awards applicants must either:</w:t>
      </w:r>
    </w:p>
    <w:p w:rsidR="007C7A36" w:rsidRPr="007C7A36" w:rsidRDefault="007C7A36" w:rsidP="007C7A36">
      <w:pPr>
        <w:widowControl w:val="0"/>
        <w:numPr>
          <w:ilvl w:val="0"/>
          <w:numId w:val="2"/>
        </w:numPr>
        <w:tabs>
          <w:tab w:val="left" w:pos="851"/>
        </w:tabs>
        <w:suppressAutoHyphens/>
        <w:spacing w:after="120" w:line="276" w:lineRule="auto"/>
        <w:ind w:left="1276" w:right="560" w:hanging="850"/>
        <w:jc w:val="both"/>
        <w:rPr>
          <w:rFonts w:ascii="Humnst777 BT" w:eastAsia="Times New Roman" w:hAnsi="Humnst777 BT" w:cs="Times New Roman"/>
          <w:lang w:val="en-US"/>
        </w:rPr>
      </w:pPr>
      <w:r w:rsidRPr="007C7A36">
        <w:rPr>
          <w:rFonts w:ascii="Humnst777 BT" w:eastAsia="Times New Roman" w:hAnsi="Humnst777 BT" w:cs="Times New Roman"/>
          <w:lang w:val="en-US"/>
        </w:rPr>
        <w:t>(i)</w:t>
      </w:r>
      <w:r w:rsidRPr="007C7A36">
        <w:rPr>
          <w:rFonts w:ascii="Humnst777 BT" w:eastAsia="Times New Roman" w:hAnsi="Humnst777 BT" w:cs="Times New Roman"/>
          <w:lang w:val="en-US"/>
        </w:rPr>
        <w:tab/>
        <w:t>be employed for at least 15 hours per week working in the health and social care sector;  and</w:t>
      </w:r>
    </w:p>
    <w:p w:rsidR="007C7A36" w:rsidRPr="007C7A36" w:rsidRDefault="007C7A36" w:rsidP="007C7A36">
      <w:pPr>
        <w:widowControl w:val="0"/>
        <w:numPr>
          <w:ilvl w:val="0"/>
          <w:numId w:val="3"/>
        </w:numPr>
        <w:tabs>
          <w:tab w:val="left" w:pos="851"/>
        </w:tabs>
        <w:suppressAutoHyphens/>
        <w:spacing w:after="120" w:line="276" w:lineRule="auto"/>
        <w:ind w:left="1276" w:right="560" w:hanging="425"/>
        <w:jc w:val="both"/>
        <w:rPr>
          <w:rFonts w:ascii="Humnst777 BT" w:eastAsia="Times New Roman" w:hAnsi="Humnst777 BT" w:cs="Times New Roman"/>
          <w:lang w:val="en-US"/>
        </w:rPr>
      </w:pPr>
      <w:r w:rsidRPr="007C7A36">
        <w:rPr>
          <w:rFonts w:ascii="Humnst777 BT" w:eastAsia="Times New Roman" w:hAnsi="Humnst777 BT" w:cs="Times New Roman"/>
          <w:lang w:val="en-US"/>
        </w:rPr>
        <w:t>where required by a programme/ pathway have the support of their employer who will be required to sign their application form;</w:t>
      </w:r>
    </w:p>
    <w:p w:rsidR="007C7A36" w:rsidRPr="007C7A36" w:rsidRDefault="007C7A36" w:rsidP="007C7A36">
      <w:pPr>
        <w:spacing w:after="0" w:line="276" w:lineRule="auto"/>
        <w:ind w:right="560" w:firstLine="426"/>
        <w:jc w:val="both"/>
        <w:rPr>
          <w:rFonts w:ascii="Humnst777 BT" w:eastAsia="Times New Roman" w:hAnsi="Humnst777 BT" w:cs="Times New Roman"/>
          <w:lang w:val="en-US"/>
        </w:rPr>
      </w:pPr>
      <w:proofErr w:type="gramStart"/>
      <w:r w:rsidRPr="007C7A36">
        <w:rPr>
          <w:rFonts w:ascii="Humnst777 BT" w:eastAsia="Times New Roman" w:hAnsi="Humnst777 BT" w:cs="Times New Roman"/>
          <w:lang w:val="en-US"/>
        </w:rPr>
        <w:t>or</w:t>
      </w:r>
      <w:proofErr w:type="gramEnd"/>
      <w:r w:rsidRPr="007C7A36">
        <w:rPr>
          <w:rFonts w:ascii="Humnst777 BT" w:eastAsia="Times New Roman" w:hAnsi="Humnst777 BT" w:cs="Times New Roman"/>
          <w:lang w:val="en-US"/>
        </w:rPr>
        <w:t>:</w:t>
      </w:r>
    </w:p>
    <w:p w:rsidR="007C7A36" w:rsidRPr="007C7A36" w:rsidRDefault="007C7A36" w:rsidP="007C7A36">
      <w:pPr>
        <w:spacing w:after="0" w:line="276" w:lineRule="auto"/>
        <w:ind w:right="560" w:firstLine="426"/>
        <w:jc w:val="both"/>
        <w:rPr>
          <w:rFonts w:ascii="Humnst777 BT" w:eastAsia="Times New Roman" w:hAnsi="Humnst777 BT" w:cs="Times New Roman"/>
          <w:lang w:val="en-US"/>
        </w:rPr>
      </w:pPr>
    </w:p>
    <w:p w:rsidR="007C7A36" w:rsidRPr="007C7A36" w:rsidRDefault="007C7A36" w:rsidP="007C7A36">
      <w:pPr>
        <w:numPr>
          <w:ilvl w:val="0"/>
          <w:numId w:val="2"/>
        </w:numPr>
        <w:tabs>
          <w:tab w:val="left" w:pos="851"/>
        </w:tabs>
        <w:overflowPunct w:val="0"/>
        <w:autoSpaceDE w:val="0"/>
        <w:autoSpaceDN w:val="0"/>
        <w:adjustRightInd w:val="0"/>
        <w:spacing w:after="120" w:line="276" w:lineRule="auto"/>
        <w:ind w:left="851" w:right="560" w:hanging="491"/>
        <w:jc w:val="both"/>
        <w:textAlignment w:val="baseline"/>
        <w:rPr>
          <w:rFonts w:ascii="Humnst777 BT" w:eastAsia="Times New Roman" w:hAnsi="Humnst777 BT" w:cs="Times New Roman"/>
          <w:lang w:val="en-US"/>
        </w:rPr>
      </w:pPr>
      <w:proofErr w:type="gramStart"/>
      <w:r w:rsidRPr="007C7A36">
        <w:rPr>
          <w:rFonts w:ascii="Humnst777 BT" w:eastAsia="Times New Roman" w:hAnsi="Humnst777 BT" w:cs="Times New Roman"/>
          <w:lang w:val="en-US"/>
        </w:rPr>
        <w:t>undertake</w:t>
      </w:r>
      <w:proofErr w:type="gramEnd"/>
      <w:r w:rsidRPr="007C7A36">
        <w:rPr>
          <w:rFonts w:ascii="Humnst777 BT" w:eastAsia="Times New Roman" w:hAnsi="Humnst777 BT" w:cs="Times New Roman"/>
          <w:lang w:val="en-US"/>
        </w:rPr>
        <w:t xml:space="preserve"> equivalent activity by working in a voluntary capacity.  The precise details can be negotiated but there will still be a requirement for 15 hours per week of relevant work experience and appropriate arrangements in place to provide suitable work-based experiences.</w:t>
      </w:r>
    </w:p>
    <w:p w:rsidR="007C7A36" w:rsidRPr="007C7A36" w:rsidRDefault="007C7A36" w:rsidP="007C7A36">
      <w:pPr>
        <w:numPr>
          <w:ilvl w:val="0"/>
          <w:numId w:val="1"/>
        </w:numPr>
        <w:tabs>
          <w:tab w:val="left" w:pos="360"/>
        </w:tabs>
        <w:suppressAutoHyphens/>
        <w:adjustRightInd w:val="0"/>
        <w:spacing w:after="12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In addition applicants must normally:</w:t>
      </w:r>
    </w:p>
    <w:p w:rsidR="007C7A36" w:rsidRPr="007C7A36" w:rsidRDefault="007C7A36" w:rsidP="007C7A36">
      <w:pPr>
        <w:widowControl w:val="0"/>
        <w:numPr>
          <w:ilvl w:val="0"/>
          <w:numId w:val="4"/>
        </w:numPr>
        <w:overflowPunct w:val="0"/>
        <w:autoSpaceDE w:val="0"/>
        <w:autoSpaceDN w:val="0"/>
        <w:adjustRightInd w:val="0"/>
        <w:spacing w:after="0" w:line="276" w:lineRule="auto"/>
        <w:ind w:right="560"/>
        <w:jc w:val="both"/>
        <w:textAlignment w:val="baseline"/>
        <w:rPr>
          <w:rFonts w:ascii="Humnst777 BT" w:eastAsia="Times New Roman" w:hAnsi="Humnst777 BT" w:cs="Times New Roman"/>
          <w:lang w:val="en-US"/>
        </w:rPr>
      </w:pPr>
      <w:r w:rsidRPr="007C7A36">
        <w:rPr>
          <w:rFonts w:ascii="Humnst777 BT" w:eastAsia="Times New Roman" w:hAnsi="Humnst777 BT" w:cs="Times New Roman"/>
          <w:lang w:val="en-US"/>
        </w:rPr>
        <w:t>have been working for at least one year in the health and social care sector prior to entry in a paid or voluntary capacity;</w:t>
      </w:r>
    </w:p>
    <w:p w:rsidR="007C7A36" w:rsidRPr="007C7A36" w:rsidRDefault="007C7A36" w:rsidP="007C7A36">
      <w:pPr>
        <w:widowControl w:val="0"/>
        <w:numPr>
          <w:ilvl w:val="0"/>
          <w:numId w:val="4"/>
        </w:numPr>
        <w:overflowPunct w:val="0"/>
        <w:autoSpaceDE w:val="0"/>
        <w:autoSpaceDN w:val="0"/>
        <w:adjustRightInd w:val="0"/>
        <w:spacing w:after="120" w:line="276" w:lineRule="auto"/>
        <w:ind w:right="560"/>
        <w:jc w:val="both"/>
        <w:textAlignment w:val="baseline"/>
        <w:rPr>
          <w:rFonts w:ascii="Humnst777 BT" w:eastAsia="Times New Roman" w:hAnsi="Humnst777 BT" w:cs="Times New Roman"/>
          <w:lang w:val="en-US"/>
        </w:rPr>
      </w:pPr>
      <w:proofErr w:type="gramStart"/>
      <w:r w:rsidRPr="007C7A36">
        <w:rPr>
          <w:rFonts w:ascii="Humnst777 BT" w:eastAsia="Times New Roman" w:hAnsi="Humnst777 BT" w:cs="Times New Roman"/>
          <w:lang w:val="en-US"/>
        </w:rPr>
        <w:t>have</w:t>
      </w:r>
      <w:proofErr w:type="gramEnd"/>
      <w:r w:rsidRPr="007C7A36">
        <w:rPr>
          <w:rFonts w:ascii="Humnst777 BT" w:eastAsia="Times New Roman" w:hAnsi="Humnst777 BT" w:cs="Times New Roman"/>
          <w:lang w:val="en-US"/>
        </w:rPr>
        <w:t xml:space="preserve"> certificated evidence of Level 2 literacy and numeracy.</w:t>
      </w:r>
    </w:p>
    <w:p w:rsidR="007C7A36" w:rsidRPr="007C7A36" w:rsidRDefault="007C7A36" w:rsidP="007C7A36">
      <w:pPr>
        <w:numPr>
          <w:ilvl w:val="0"/>
          <w:numId w:val="1"/>
        </w:numPr>
        <w:tabs>
          <w:tab w:val="left" w:pos="360"/>
        </w:tabs>
        <w:suppressAutoHyphens/>
        <w:adjustRightInd w:val="0"/>
        <w:spacing w:after="12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Candidates without the qualifications detailed in the Regulation and Credit Framework for the Conferment of Awards may be eligible for entry to the Foundation Degree if they can demonstrate an ability to study at a suitable level.</w:t>
      </w:r>
    </w:p>
    <w:p w:rsidR="007C7A36" w:rsidRPr="007C7A36" w:rsidRDefault="007C7A36" w:rsidP="007C7A36">
      <w:pPr>
        <w:numPr>
          <w:ilvl w:val="0"/>
          <w:numId w:val="1"/>
        </w:numPr>
        <w:tabs>
          <w:tab w:val="left" w:pos="360"/>
        </w:tabs>
        <w:suppressAutoHyphens/>
        <w:adjustRightInd w:val="0"/>
        <w:spacing w:after="12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In addition, those candidates applying to the Paramedic Practice pathway will need to demonstrate:</w:t>
      </w:r>
    </w:p>
    <w:p w:rsidR="007C7A36" w:rsidRPr="007C7A36" w:rsidRDefault="007C7A36" w:rsidP="007C7A36">
      <w:pPr>
        <w:numPr>
          <w:ilvl w:val="1"/>
          <w:numId w:val="1"/>
        </w:numPr>
        <w:tabs>
          <w:tab w:val="left" w:pos="360"/>
        </w:tabs>
        <w:suppressAutoHyphens/>
        <w:adjustRightInd w:val="0"/>
        <w:spacing w:after="12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Employment with South East Coast Ambulance Service NHS Foundation Trust (</w:t>
      </w:r>
      <w:proofErr w:type="spellStart"/>
      <w:r w:rsidRPr="007C7A36">
        <w:rPr>
          <w:rFonts w:ascii="Humnst777 BT" w:eastAsia="Times New Roman" w:hAnsi="Humnst777 BT" w:cs="Times New Roman"/>
          <w:lang w:val="en-US"/>
        </w:rPr>
        <w:t>SECAmb</w:t>
      </w:r>
      <w:proofErr w:type="spellEnd"/>
      <w:r w:rsidRPr="007C7A36">
        <w:rPr>
          <w:rFonts w:ascii="Humnst777 BT" w:eastAsia="Times New Roman" w:hAnsi="Humnst777 BT" w:cs="Times New Roman"/>
          <w:lang w:val="en-US"/>
        </w:rPr>
        <w:t>)</w:t>
      </w:r>
    </w:p>
    <w:p w:rsidR="007C7A36" w:rsidRPr="007C7A36" w:rsidRDefault="007C7A36" w:rsidP="007C7A36">
      <w:pPr>
        <w:numPr>
          <w:ilvl w:val="1"/>
          <w:numId w:val="1"/>
        </w:numPr>
        <w:tabs>
          <w:tab w:val="left" w:pos="360"/>
        </w:tabs>
        <w:suppressAutoHyphens/>
        <w:adjustRightInd w:val="0"/>
        <w:spacing w:after="12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5 GCSE’s (or equivalent) to include Science, English Language and Mathematics at grade C or above.</w:t>
      </w:r>
    </w:p>
    <w:p w:rsidR="007C7A36" w:rsidRDefault="007C7A36" w:rsidP="007C7A36">
      <w:pPr>
        <w:spacing w:before="240" w:after="240" w:line="276" w:lineRule="auto"/>
        <w:jc w:val="both"/>
        <w:rPr>
          <w:rFonts w:ascii="Humnst777 BT" w:eastAsia="Times New Roman" w:hAnsi="Humnst777 BT" w:cs="Times New Roman"/>
          <w:b/>
          <w:color w:val="000080"/>
          <w:lang w:val="en-US"/>
        </w:rPr>
      </w:pPr>
    </w:p>
    <w:p w:rsidR="007C7A36" w:rsidRDefault="007C7A36" w:rsidP="007C7A36">
      <w:pPr>
        <w:spacing w:before="240" w:after="240" w:line="276" w:lineRule="auto"/>
        <w:jc w:val="both"/>
        <w:rPr>
          <w:rFonts w:ascii="Humnst777 BT" w:eastAsia="Times New Roman" w:hAnsi="Humnst777 BT" w:cs="Times New Roman"/>
          <w:b/>
          <w:color w:val="000080"/>
          <w:lang w:val="en-US"/>
        </w:rPr>
      </w:pPr>
    </w:p>
    <w:p w:rsidR="007C7A36" w:rsidRPr="007C7A36" w:rsidRDefault="007C7A36" w:rsidP="007C7A36">
      <w:pPr>
        <w:spacing w:before="240" w:after="240" w:line="276" w:lineRule="auto"/>
        <w:jc w:val="both"/>
        <w:rPr>
          <w:rFonts w:ascii="Humnst777 BT" w:eastAsia="Times New Roman" w:hAnsi="Humnst777 BT" w:cs="Times New Roman"/>
          <w:b/>
          <w:color w:val="000080"/>
          <w:lang w:val="en-US"/>
        </w:rPr>
      </w:pPr>
      <w:r w:rsidRPr="007C7A36">
        <w:rPr>
          <w:rFonts w:ascii="Humnst777 BT" w:eastAsia="Times New Roman" w:hAnsi="Humnst777 BT" w:cs="Times New Roman"/>
          <w:b/>
          <w:color w:val="000080"/>
          <w:lang w:val="en-US"/>
        </w:rPr>
        <w:lastRenderedPageBreak/>
        <w:t>ADDITIONAL REQUIREMENTS</w:t>
      </w:r>
    </w:p>
    <w:p w:rsidR="007C7A36" w:rsidRPr="007C7A36" w:rsidRDefault="007C7A36" w:rsidP="007C7A36">
      <w:pPr>
        <w:numPr>
          <w:ilvl w:val="0"/>
          <w:numId w:val="1"/>
        </w:numPr>
        <w:tabs>
          <w:tab w:val="clear" w:pos="360"/>
        </w:tabs>
        <w:suppressAutoHyphens/>
        <w:spacing w:after="120" w:line="276" w:lineRule="auto"/>
        <w:ind w:left="426" w:hanging="426"/>
        <w:jc w:val="both"/>
        <w:rPr>
          <w:rFonts w:ascii="Humnst777 BT" w:eastAsia="Times New Roman" w:hAnsi="Humnst777 BT" w:cs="Times New Roman"/>
          <w:lang w:val="en-US"/>
        </w:rPr>
      </w:pPr>
      <w:r w:rsidRPr="007C7A36">
        <w:rPr>
          <w:rFonts w:ascii="Humnst777 BT" w:eastAsia="Times New Roman" w:hAnsi="Humnst777 BT" w:cs="Times New Roman"/>
          <w:lang w:val="en-US"/>
        </w:rPr>
        <w:t xml:space="preserve">Candidates must retain access to appropriate work-based activities throughout their studies.  </w:t>
      </w:r>
    </w:p>
    <w:p w:rsidR="007C7A36" w:rsidRPr="007C7A36" w:rsidRDefault="007C7A36" w:rsidP="007C7A36">
      <w:pPr>
        <w:numPr>
          <w:ilvl w:val="0"/>
          <w:numId w:val="1"/>
        </w:numPr>
        <w:tabs>
          <w:tab w:val="clear" w:pos="360"/>
        </w:tabs>
        <w:suppressAutoHyphens/>
        <w:spacing w:after="120" w:line="276" w:lineRule="auto"/>
        <w:ind w:left="426" w:hanging="426"/>
        <w:jc w:val="both"/>
        <w:rPr>
          <w:rFonts w:ascii="Humnst777 BT" w:eastAsia="Times New Roman" w:hAnsi="Humnst777 BT" w:cs="Times New Roman"/>
          <w:lang w:val="en-US"/>
        </w:rPr>
      </w:pPr>
      <w:r w:rsidRPr="007C7A36">
        <w:rPr>
          <w:rFonts w:ascii="Humnst777 BT" w:eastAsia="Times New Roman" w:hAnsi="Humnst777 BT" w:cs="Times New Roman"/>
          <w:lang w:val="en-US"/>
        </w:rPr>
        <w:t xml:space="preserve">Candidates on the Paramedic Practice pathway must maintain the terms and conditions of employment with </w:t>
      </w:r>
      <w:proofErr w:type="spellStart"/>
      <w:r w:rsidRPr="007C7A36">
        <w:rPr>
          <w:rFonts w:ascii="Humnst777 BT" w:eastAsia="Times New Roman" w:hAnsi="Humnst777 BT" w:cs="Times New Roman"/>
          <w:lang w:val="en-US"/>
        </w:rPr>
        <w:t>SECAmb</w:t>
      </w:r>
      <w:proofErr w:type="spellEnd"/>
      <w:r w:rsidRPr="007C7A36">
        <w:rPr>
          <w:rFonts w:ascii="Humnst777 BT" w:eastAsia="Times New Roman" w:hAnsi="Humnst777 BT" w:cs="Times New Roman"/>
          <w:lang w:val="en-US"/>
        </w:rPr>
        <w:t xml:space="preserve"> or they may be asked to withdraw or transfer to a different pathway.</w:t>
      </w:r>
    </w:p>
    <w:p w:rsidR="007C7A36" w:rsidRPr="007C7A36" w:rsidRDefault="007C7A36" w:rsidP="007C7A36">
      <w:pPr>
        <w:spacing w:before="240" w:after="240" w:line="276" w:lineRule="auto"/>
        <w:jc w:val="both"/>
        <w:rPr>
          <w:rFonts w:ascii="Humnst777 BT" w:eastAsia="Times New Roman" w:hAnsi="Humnst777 BT" w:cs="Times New Roman"/>
          <w:b/>
          <w:color w:val="000080"/>
          <w:lang w:val="en-US"/>
        </w:rPr>
      </w:pPr>
      <w:r w:rsidRPr="007C7A36">
        <w:rPr>
          <w:rFonts w:ascii="Humnst777 BT" w:eastAsia="Times New Roman" w:hAnsi="Humnst777 BT" w:cs="Times New Roman"/>
          <w:b/>
          <w:color w:val="000080"/>
          <w:lang w:val="en-US"/>
        </w:rPr>
        <w:t>SELECTION PROCEDURES</w:t>
      </w:r>
    </w:p>
    <w:p w:rsidR="007C7A36" w:rsidRPr="007C7A36" w:rsidRDefault="007C7A36" w:rsidP="007C7A36">
      <w:pPr>
        <w:numPr>
          <w:ilvl w:val="0"/>
          <w:numId w:val="1"/>
        </w:numPr>
        <w:spacing w:after="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Candidates who satisfy the Entry Requirements will be required to attend a selection interview.  The process of acceptance may also include additional aptitude tests.</w:t>
      </w:r>
    </w:p>
    <w:p w:rsidR="007C7A36" w:rsidRPr="007C7A36" w:rsidRDefault="007C7A36" w:rsidP="007C7A36">
      <w:pPr>
        <w:spacing w:before="240" w:after="240" w:line="276" w:lineRule="auto"/>
        <w:jc w:val="both"/>
        <w:rPr>
          <w:rFonts w:ascii="Humnst777 BT" w:eastAsia="Times New Roman" w:hAnsi="Humnst777 BT" w:cs="Times New Roman"/>
          <w:b/>
          <w:color w:val="000080"/>
          <w:lang w:val="en-US"/>
        </w:rPr>
      </w:pPr>
      <w:r w:rsidRPr="007C7A36">
        <w:rPr>
          <w:rFonts w:ascii="Humnst777 BT" w:eastAsia="Times New Roman" w:hAnsi="Humnst777 BT" w:cs="Times New Roman"/>
          <w:b/>
          <w:color w:val="000080"/>
          <w:lang w:val="en-US"/>
        </w:rPr>
        <w:t>ASSESSMENT</w:t>
      </w:r>
    </w:p>
    <w:p w:rsidR="007C7A36" w:rsidRPr="007C7A36" w:rsidRDefault="007C7A36" w:rsidP="007C7A36">
      <w:pPr>
        <w:numPr>
          <w:ilvl w:val="0"/>
          <w:numId w:val="1"/>
        </w:numPr>
        <w:spacing w:after="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Students must pass all ‘work place evidence tools’.  These will be graded as either 'Pass (P)' or 'Fail (F)'.</w:t>
      </w:r>
    </w:p>
    <w:p w:rsidR="007C7A36" w:rsidRPr="007C7A36" w:rsidRDefault="007C7A36" w:rsidP="007C7A36">
      <w:pPr>
        <w:spacing w:after="0" w:line="276" w:lineRule="auto"/>
        <w:ind w:left="360"/>
        <w:jc w:val="both"/>
        <w:rPr>
          <w:rFonts w:ascii="Humnst777 BT" w:eastAsia="Times New Roman" w:hAnsi="Humnst777 BT" w:cs="Times New Roman"/>
          <w:lang w:val="en-US"/>
        </w:rPr>
      </w:pPr>
    </w:p>
    <w:p w:rsidR="007C7A36" w:rsidRPr="007C7A36" w:rsidRDefault="007C7A36" w:rsidP="007C7A36">
      <w:pPr>
        <w:numPr>
          <w:ilvl w:val="0"/>
          <w:numId w:val="1"/>
        </w:numPr>
        <w:spacing w:after="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Students must pass all individual assessments.</w:t>
      </w:r>
    </w:p>
    <w:p w:rsidR="007C7A36" w:rsidRPr="007C7A36" w:rsidRDefault="007C7A36" w:rsidP="007C7A36">
      <w:pPr>
        <w:spacing w:after="0" w:line="276" w:lineRule="auto"/>
        <w:ind w:left="360"/>
        <w:jc w:val="both"/>
        <w:rPr>
          <w:rFonts w:ascii="Humnst777 BT" w:eastAsia="Times New Roman" w:hAnsi="Humnst777 BT" w:cs="Times New Roman"/>
          <w:lang w:val="en-US"/>
        </w:rPr>
      </w:pPr>
    </w:p>
    <w:p w:rsidR="007C7A36" w:rsidRPr="007C7A36" w:rsidRDefault="007C7A36" w:rsidP="007C7A36">
      <w:pPr>
        <w:spacing w:after="0" w:line="276" w:lineRule="auto"/>
        <w:jc w:val="both"/>
        <w:rPr>
          <w:rFonts w:ascii="Humnst777 BT" w:eastAsia="Times New Roman" w:hAnsi="Humnst777 BT" w:cs="Times New Roman"/>
          <w:b/>
          <w:color w:val="000080"/>
          <w:lang w:val="en-US"/>
        </w:rPr>
      </w:pPr>
      <w:r w:rsidRPr="007C7A36">
        <w:rPr>
          <w:rFonts w:ascii="Humnst777 BT" w:eastAsia="Times New Roman" w:hAnsi="Humnst777 BT" w:cs="Times New Roman"/>
          <w:b/>
          <w:color w:val="000080"/>
          <w:lang w:val="en-US"/>
        </w:rPr>
        <w:t xml:space="preserve">COMPENSATION </w:t>
      </w:r>
    </w:p>
    <w:p w:rsidR="007C7A36" w:rsidRPr="007C7A36" w:rsidRDefault="007C7A36" w:rsidP="007C7A36">
      <w:pPr>
        <w:spacing w:after="0" w:line="276" w:lineRule="auto"/>
        <w:jc w:val="both"/>
        <w:rPr>
          <w:rFonts w:ascii="Humnst777 BT" w:eastAsia="Times New Roman" w:hAnsi="Humnst777 BT" w:cs="Times New Roman"/>
          <w:lang w:val="en-US"/>
        </w:rPr>
      </w:pPr>
    </w:p>
    <w:p w:rsidR="007C7A36" w:rsidRPr="007C7A36" w:rsidRDefault="007C7A36" w:rsidP="007C7A36">
      <w:pPr>
        <w:numPr>
          <w:ilvl w:val="0"/>
          <w:numId w:val="1"/>
        </w:numPr>
        <w:spacing w:after="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All pathways within the programme are excluded from compensation.</w:t>
      </w:r>
    </w:p>
    <w:p w:rsidR="007C7A36" w:rsidRPr="007C7A36" w:rsidRDefault="007C7A36" w:rsidP="007C7A36">
      <w:pPr>
        <w:spacing w:after="0" w:line="276" w:lineRule="auto"/>
        <w:jc w:val="both"/>
        <w:rPr>
          <w:rFonts w:ascii="Humnst777 BT" w:eastAsia="Times New Roman" w:hAnsi="Humnst777 BT" w:cs="Times New Roman"/>
          <w:lang w:val="en-US"/>
        </w:rPr>
      </w:pPr>
    </w:p>
    <w:p w:rsidR="007C7A36" w:rsidRPr="007C7A36" w:rsidRDefault="007C7A36" w:rsidP="007C7A36">
      <w:pPr>
        <w:spacing w:after="0" w:line="276" w:lineRule="auto"/>
        <w:jc w:val="both"/>
        <w:rPr>
          <w:rFonts w:ascii="Humnst777 BT" w:eastAsia="Times New Roman" w:hAnsi="Humnst777 BT" w:cs="Times New Roman"/>
          <w:b/>
          <w:color w:val="000080"/>
          <w:lang w:val="en-US"/>
        </w:rPr>
      </w:pPr>
      <w:r w:rsidRPr="007C7A36">
        <w:rPr>
          <w:rFonts w:ascii="Humnst777 BT" w:eastAsia="Times New Roman" w:hAnsi="Humnst777 BT" w:cs="Times New Roman"/>
          <w:b/>
          <w:color w:val="000080"/>
          <w:lang w:val="en-US"/>
        </w:rPr>
        <w:t>RESIT ARRANGEMENTS</w:t>
      </w:r>
    </w:p>
    <w:p w:rsidR="007C7A36" w:rsidRPr="007C7A36" w:rsidRDefault="007C7A36" w:rsidP="007C7A36">
      <w:pPr>
        <w:spacing w:after="0" w:line="276" w:lineRule="auto"/>
        <w:jc w:val="both"/>
        <w:rPr>
          <w:rFonts w:ascii="Humnst777 BT" w:eastAsia="Times New Roman" w:hAnsi="Humnst777 BT" w:cs="Times New Roman"/>
          <w:lang w:val="en-US"/>
        </w:rPr>
      </w:pPr>
    </w:p>
    <w:p w:rsidR="007C7A36" w:rsidRPr="007C7A36" w:rsidRDefault="007C7A36" w:rsidP="007C7A36">
      <w:pPr>
        <w:numPr>
          <w:ilvl w:val="0"/>
          <w:numId w:val="1"/>
        </w:numPr>
        <w:spacing w:after="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Students on the Paramedic Practice pathway are only eligible for one practice assessment resit opportunity at both levels 4 and 5.</w:t>
      </w:r>
    </w:p>
    <w:p w:rsidR="007C7A36" w:rsidRPr="007C7A36" w:rsidRDefault="007C7A36" w:rsidP="007C7A36">
      <w:pPr>
        <w:spacing w:after="0" w:line="276" w:lineRule="auto"/>
        <w:jc w:val="both"/>
        <w:rPr>
          <w:rFonts w:ascii="Humnst777 BT" w:eastAsia="Times New Roman" w:hAnsi="Humnst777 BT" w:cs="Times New Roman"/>
          <w:lang w:val="en-US"/>
        </w:rPr>
      </w:pPr>
    </w:p>
    <w:p w:rsidR="007C7A36" w:rsidRPr="007C7A36" w:rsidRDefault="007C7A36" w:rsidP="007C7A36">
      <w:pPr>
        <w:spacing w:after="0" w:line="276" w:lineRule="auto"/>
        <w:jc w:val="both"/>
        <w:rPr>
          <w:rFonts w:ascii="Humnst777 BT" w:eastAsia="Times New Roman" w:hAnsi="Humnst777 BT" w:cs="Times New Roman"/>
          <w:b/>
          <w:bCs/>
          <w:color w:val="000099"/>
          <w:lang w:val="en-US" w:eastAsia="ar-SA"/>
        </w:rPr>
      </w:pPr>
      <w:r w:rsidRPr="007C7A36">
        <w:rPr>
          <w:rFonts w:ascii="Humnst777 BT" w:eastAsia="Times New Roman" w:hAnsi="Humnst777 BT" w:cs="Times New Roman"/>
          <w:b/>
          <w:bCs/>
          <w:color w:val="000099"/>
          <w:lang w:val="en-US" w:eastAsia="ar-SA"/>
        </w:rPr>
        <w:t>PARAMEDIC PRACTICE EXIT AWARDS NOT LEADING TO PROFESSIONAL REGISTRATION</w:t>
      </w:r>
    </w:p>
    <w:p w:rsidR="007C7A36" w:rsidRPr="007C7A36" w:rsidRDefault="007C7A36" w:rsidP="007C7A36">
      <w:pPr>
        <w:spacing w:after="0" w:line="276" w:lineRule="auto"/>
        <w:jc w:val="both"/>
        <w:rPr>
          <w:rFonts w:ascii="Humnst777 BT" w:eastAsia="Times New Roman" w:hAnsi="Humnst777 BT" w:cs="Times New Roman"/>
          <w:lang w:val="en-US"/>
        </w:rPr>
      </w:pPr>
    </w:p>
    <w:p w:rsidR="007C7A36" w:rsidRPr="007C7A36" w:rsidRDefault="007C7A36" w:rsidP="007C7A36">
      <w:pPr>
        <w:numPr>
          <w:ilvl w:val="0"/>
          <w:numId w:val="1"/>
        </w:numPr>
        <w:spacing w:after="0" w:line="276" w:lineRule="auto"/>
        <w:jc w:val="both"/>
        <w:rPr>
          <w:rFonts w:ascii="Humnst777 BT" w:eastAsia="Times New Roman" w:hAnsi="Humnst777 BT" w:cs="Times New Roman"/>
          <w:lang w:val="en-US"/>
        </w:rPr>
      </w:pPr>
      <w:proofErr w:type="spellStart"/>
      <w:r w:rsidRPr="007C7A36">
        <w:rPr>
          <w:rFonts w:ascii="Humnst777 BT" w:eastAsia="Times New Roman" w:hAnsi="Humnst777 BT" w:cs="Times New Roman"/>
          <w:lang w:val="en-US" w:eastAsia="ar-SA"/>
        </w:rPr>
        <w:t>Aegrotat</w:t>
      </w:r>
      <w:proofErr w:type="spellEnd"/>
      <w:r w:rsidRPr="007C7A36">
        <w:rPr>
          <w:rFonts w:ascii="Humnst777 BT" w:eastAsia="Times New Roman" w:hAnsi="Humnst777 BT" w:cs="Times New Roman"/>
          <w:lang w:val="en-US" w:eastAsia="ar-SA"/>
        </w:rPr>
        <w:t xml:space="preserve"> awards may be offered at the discretion of the Board of Examiners as outlined in the regulations; however such awards would not provide eligibility to apply for admission to the Health &amp; Care Professions Council register.</w:t>
      </w:r>
    </w:p>
    <w:p w:rsidR="007C7A36" w:rsidRPr="007C7A36" w:rsidRDefault="007C7A36" w:rsidP="007C7A36">
      <w:pPr>
        <w:spacing w:after="0" w:line="276" w:lineRule="auto"/>
        <w:ind w:left="360"/>
        <w:jc w:val="both"/>
        <w:rPr>
          <w:rFonts w:ascii="Humnst777 BT" w:eastAsia="Times New Roman" w:hAnsi="Humnst777 BT" w:cs="Times New Roman"/>
          <w:lang w:val="en-US"/>
        </w:rPr>
      </w:pPr>
    </w:p>
    <w:p w:rsidR="007C7A36" w:rsidRPr="007C7A36" w:rsidRDefault="007C7A36" w:rsidP="007C7A36">
      <w:pPr>
        <w:spacing w:after="0" w:line="276" w:lineRule="auto"/>
        <w:jc w:val="both"/>
        <w:rPr>
          <w:rFonts w:ascii="Humnst777 BT" w:eastAsia="Times New Roman" w:hAnsi="Humnst777 BT" w:cs="Times New Roman"/>
          <w:b/>
          <w:bCs/>
          <w:color w:val="000099"/>
          <w:lang w:val="en-US" w:eastAsia="ar-SA"/>
        </w:rPr>
      </w:pPr>
      <w:r w:rsidRPr="007C7A36">
        <w:rPr>
          <w:rFonts w:ascii="Humnst777 BT" w:eastAsia="Times New Roman" w:hAnsi="Humnst777 BT" w:cs="Times New Roman"/>
          <w:b/>
          <w:bCs/>
          <w:color w:val="000099"/>
          <w:lang w:val="en-US" w:eastAsia="ar-SA"/>
        </w:rPr>
        <w:t>EXTERNAL EXAMINERS</w:t>
      </w:r>
    </w:p>
    <w:p w:rsidR="007C7A36" w:rsidRPr="007C7A36" w:rsidRDefault="007C7A36" w:rsidP="007C7A36">
      <w:pPr>
        <w:spacing w:after="0" w:line="276" w:lineRule="auto"/>
        <w:jc w:val="both"/>
        <w:rPr>
          <w:rFonts w:ascii="Humnst777 BT" w:eastAsia="Times New Roman" w:hAnsi="Humnst777 BT" w:cs="Times New Roman"/>
          <w:lang w:val="en-US"/>
        </w:rPr>
      </w:pPr>
    </w:p>
    <w:p w:rsidR="007C7A36" w:rsidRPr="007C7A36" w:rsidRDefault="007C7A36" w:rsidP="007C7A36">
      <w:pPr>
        <w:numPr>
          <w:ilvl w:val="0"/>
          <w:numId w:val="1"/>
        </w:numPr>
        <w:spacing w:after="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eastAsia="ar-SA"/>
        </w:rPr>
        <w:t>At least one external examiner appointed to the Paramedic Practice pathway must be appropriately experienced and qualified in the relevant area of practice and, unless other arrangements are agreed with the Health &amp; Care Professions Council, be from the relevant part of the Register.</w:t>
      </w:r>
    </w:p>
    <w:p w:rsidR="007C7A36" w:rsidRPr="007C7A36" w:rsidRDefault="007C7A36" w:rsidP="007C7A36">
      <w:pPr>
        <w:spacing w:after="0" w:line="276" w:lineRule="auto"/>
        <w:jc w:val="both"/>
        <w:rPr>
          <w:rFonts w:ascii="Humnst777 BT" w:eastAsia="Times New Roman" w:hAnsi="Humnst777 BT" w:cs="Times New Roman"/>
          <w:b/>
          <w:color w:val="000080"/>
          <w:lang w:val="en-US"/>
        </w:rPr>
      </w:pPr>
    </w:p>
    <w:p w:rsidR="007C7A36" w:rsidRPr="007C7A36" w:rsidRDefault="007C7A36" w:rsidP="007C7A36">
      <w:pPr>
        <w:spacing w:after="0" w:line="276" w:lineRule="auto"/>
        <w:jc w:val="both"/>
        <w:rPr>
          <w:rFonts w:ascii="Humnst777 BT" w:eastAsia="Times New Roman" w:hAnsi="Humnst777 BT" w:cs="Times New Roman"/>
          <w:lang w:val="en-US"/>
        </w:rPr>
      </w:pPr>
      <w:r w:rsidRPr="007C7A36">
        <w:rPr>
          <w:rFonts w:ascii="Humnst777 BT" w:eastAsia="Times New Roman" w:hAnsi="Humnst777 BT" w:cs="Times New Roman"/>
          <w:lang w:val="en-US"/>
        </w:rPr>
        <w:t xml:space="preserve">Approved by Academic Board, </w:t>
      </w:r>
      <w:r w:rsidR="00925E62">
        <w:rPr>
          <w:rFonts w:ascii="Humnst777 BT" w:eastAsia="Times New Roman" w:hAnsi="Humnst777 BT" w:cs="Times New Roman"/>
          <w:lang w:val="en-US"/>
        </w:rPr>
        <w:t>24 June 2015.</w:t>
      </w:r>
      <w:bookmarkStart w:id="0" w:name="_GoBack"/>
      <w:bookmarkEnd w:id="0"/>
    </w:p>
    <w:p w:rsidR="007C7A36" w:rsidRPr="007C7A36" w:rsidRDefault="007C7A36" w:rsidP="007C7A36">
      <w:pPr>
        <w:spacing w:after="0" w:line="276" w:lineRule="auto"/>
        <w:jc w:val="both"/>
        <w:rPr>
          <w:rFonts w:ascii="Humnst777 BT" w:eastAsia="Times New Roman" w:hAnsi="Humnst777 BT" w:cs="Times New Roman"/>
          <w:lang w:val="en-US"/>
        </w:rPr>
      </w:pPr>
    </w:p>
    <w:p w:rsidR="007C7A36" w:rsidRPr="007C7A36" w:rsidRDefault="007C7A36" w:rsidP="007C7A36">
      <w:pPr>
        <w:spacing w:after="240" w:line="276" w:lineRule="auto"/>
        <w:jc w:val="center"/>
        <w:rPr>
          <w:rFonts w:ascii="Humnst777 BT" w:eastAsia="Times New Roman" w:hAnsi="Humnst777 BT" w:cs="Times New Roman"/>
          <w:b/>
          <w:color w:val="000080"/>
          <w:lang w:val="en-US"/>
        </w:rPr>
      </w:pPr>
      <w:r w:rsidRPr="007C7A36">
        <w:rPr>
          <w:rFonts w:ascii="Humnst777 BT" w:eastAsia="Times New Roman" w:hAnsi="Humnst777 BT" w:cs="Times New Roman"/>
          <w:lang w:val="en-US"/>
        </w:rPr>
        <w:br w:type="page"/>
      </w:r>
      <w:r w:rsidRPr="007C7A36">
        <w:rPr>
          <w:rFonts w:ascii="Humnst777 BT" w:eastAsia="Times New Roman" w:hAnsi="Humnst777 BT" w:cs="Times New Roman"/>
          <w:b/>
          <w:color w:val="333399"/>
          <w:lang w:val="en-US"/>
        </w:rPr>
        <w:lastRenderedPageBreak/>
        <w:t>SPECIAL REGULATIONS: FOUNDATION DEGREE IN HEALTH AND SOCIAL CARE (AND ALL NAMED PATHWAYS)</w:t>
      </w:r>
    </w:p>
    <w:p w:rsidR="007C7A36" w:rsidRPr="007C7A36" w:rsidRDefault="007C7A36" w:rsidP="007C7A36">
      <w:pPr>
        <w:suppressAutoHyphens/>
        <w:spacing w:before="240" w:after="240" w:line="276" w:lineRule="auto"/>
        <w:jc w:val="center"/>
        <w:rPr>
          <w:rFonts w:ascii="Humnst777 BT" w:eastAsia="Times New Roman" w:hAnsi="Humnst777 BT" w:cs="Times New Roman"/>
          <w:b/>
          <w:bCs/>
          <w:color w:val="000099"/>
          <w:lang w:val="en-US" w:eastAsia="ar-SA"/>
        </w:rPr>
      </w:pPr>
      <w:r w:rsidRPr="007C7A36">
        <w:rPr>
          <w:rFonts w:ascii="Humnst777 BT" w:eastAsia="Times New Roman" w:hAnsi="Humnst777 BT" w:cs="Times New Roman"/>
          <w:b/>
          <w:bCs/>
          <w:color w:val="000099"/>
          <w:lang w:val="en-US" w:eastAsia="ar-SA"/>
        </w:rPr>
        <w:t>SCHEDULE ONE</w:t>
      </w:r>
    </w:p>
    <w:p w:rsidR="007C7A36" w:rsidRPr="007C7A36" w:rsidRDefault="007C7A36" w:rsidP="007C7A36">
      <w:pPr>
        <w:suppressAutoHyphens/>
        <w:spacing w:before="240" w:after="240" w:line="276" w:lineRule="auto"/>
        <w:jc w:val="center"/>
        <w:rPr>
          <w:rFonts w:ascii="Humnst777 BT" w:eastAsia="Times New Roman" w:hAnsi="Humnst777 BT" w:cs="Times New Roman"/>
          <w:b/>
          <w:bCs/>
          <w:color w:val="000099"/>
          <w:lang w:val="en-US" w:eastAsia="ar-SA"/>
        </w:rPr>
      </w:pPr>
      <w:r w:rsidRPr="007C7A36">
        <w:rPr>
          <w:rFonts w:ascii="Humnst777 BT" w:eastAsia="Times New Roman" w:hAnsi="Humnst777 BT" w:cs="Times New Roman"/>
          <w:b/>
          <w:bCs/>
          <w:color w:val="000099"/>
          <w:lang w:val="en-US" w:eastAsia="ar-SA"/>
        </w:rPr>
        <w:t>SUMMARY OF AMENDMENTS</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1985"/>
        <w:gridCol w:w="2126"/>
      </w:tblGrid>
      <w:tr w:rsidR="007C7A36" w:rsidRPr="007C7A36" w:rsidTr="00BA5AB7">
        <w:tc>
          <w:tcPr>
            <w:tcW w:w="4224" w:type="dxa"/>
            <w:shd w:val="clear" w:color="auto" w:fill="F2F2F2"/>
          </w:tcPr>
          <w:p w:rsidR="007C7A36" w:rsidRPr="007C7A36" w:rsidRDefault="007C7A36" w:rsidP="007C7A36">
            <w:pPr>
              <w:suppressAutoHyphens/>
              <w:snapToGrid w:val="0"/>
              <w:spacing w:after="0" w:line="240" w:lineRule="auto"/>
              <w:jc w:val="center"/>
              <w:rPr>
                <w:rFonts w:ascii="Humnst777 BT" w:eastAsia="Times New Roman" w:hAnsi="Humnst777 BT" w:cs="Calibri"/>
                <w:b/>
                <w:bCs/>
                <w:lang w:val="en-US" w:eastAsia="ar-SA"/>
              </w:rPr>
            </w:pPr>
            <w:r w:rsidRPr="007C7A36">
              <w:rPr>
                <w:rFonts w:ascii="Humnst777 BT" w:eastAsia="Times New Roman" w:hAnsi="Humnst777 BT" w:cs="Calibri"/>
                <w:b/>
                <w:bCs/>
                <w:lang w:val="en-US" w:eastAsia="ar-SA"/>
              </w:rPr>
              <w:t>Amendment</w:t>
            </w:r>
          </w:p>
        </w:tc>
        <w:tc>
          <w:tcPr>
            <w:tcW w:w="1985" w:type="dxa"/>
            <w:shd w:val="clear" w:color="auto" w:fill="F2F2F2"/>
          </w:tcPr>
          <w:p w:rsidR="007C7A36" w:rsidRPr="007C7A36" w:rsidRDefault="007C7A36" w:rsidP="007C7A36">
            <w:pPr>
              <w:suppressAutoHyphens/>
              <w:snapToGrid w:val="0"/>
              <w:spacing w:after="0" w:line="240" w:lineRule="auto"/>
              <w:jc w:val="center"/>
              <w:rPr>
                <w:rFonts w:ascii="Humnst777 BT" w:eastAsia="Times New Roman" w:hAnsi="Humnst777 BT" w:cs="Calibri"/>
                <w:b/>
                <w:bCs/>
                <w:lang w:val="en-US" w:eastAsia="ar-SA"/>
              </w:rPr>
            </w:pPr>
            <w:r w:rsidRPr="007C7A36">
              <w:rPr>
                <w:rFonts w:ascii="Humnst777 BT" w:eastAsia="Times New Roman" w:hAnsi="Humnst777 BT" w:cs="Calibri"/>
                <w:b/>
                <w:bCs/>
                <w:lang w:val="en-US" w:eastAsia="ar-SA"/>
              </w:rPr>
              <w:t>Date Approved</w:t>
            </w:r>
          </w:p>
        </w:tc>
        <w:tc>
          <w:tcPr>
            <w:tcW w:w="2126" w:type="dxa"/>
            <w:shd w:val="clear" w:color="auto" w:fill="F2F2F2"/>
          </w:tcPr>
          <w:p w:rsidR="007C7A36" w:rsidRPr="007C7A36" w:rsidRDefault="007C7A36" w:rsidP="007C7A36">
            <w:pPr>
              <w:suppressAutoHyphens/>
              <w:snapToGrid w:val="0"/>
              <w:spacing w:after="0" w:line="240" w:lineRule="auto"/>
              <w:jc w:val="center"/>
              <w:rPr>
                <w:rFonts w:ascii="Humnst777 BT" w:eastAsia="Times New Roman" w:hAnsi="Humnst777 BT" w:cs="Calibri"/>
                <w:b/>
                <w:bCs/>
                <w:lang w:val="en-US" w:eastAsia="ar-SA"/>
              </w:rPr>
            </w:pPr>
            <w:r w:rsidRPr="007C7A36">
              <w:rPr>
                <w:rFonts w:ascii="Humnst777 BT" w:eastAsia="Times New Roman" w:hAnsi="Humnst777 BT" w:cs="Calibri"/>
                <w:b/>
                <w:bCs/>
                <w:lang w:val="en-US" w:eastAsia="ar-SA"/>
              </w:rPr>
              <w:t xml:space="preserve">Effective From </w:t>
            </w:r>
          </w:p>
        </w:tc>
      </w:tr>
      <w:tr w:rsidR="007C7A36" w:rsidRPr="007C7A36" w:rsidTr="00BA5AB7">
        <w:tc>
          <w:tcPr>
            <w:tcW w:w="4224" w:type="dxa"/>
          </w:tcPr>
          <w:p w:rsidR="007C7A36" w:rsidRPr="007C7A36" w:rsidRDefault="007C7A36" w:rsidP="007C7A36">
            <w:pPr>
              <w:suppressAutoHyphens/>
              <w:spacing w:after="0" w:line="240" w:lineRule="auto"/>
              <w:rPr>
                <w:rFonts w:ascii="Humnst777 BT" w:eastAsia="Times New Roman" w:hAnsi="Humnst777 BT" w:cs="Calibri"/>
                <w:lang w:val="en-US" w:eastAsia="ar-SA"/>
              </w:rPr>
            </w:pPr>
            <w:r w:rsidRPr="007C7A36">
              <w:rPr>
                <w:rFonts w:ascii="Humnst777 BT" w:eastAsia="Times New Roman" w:hAnsi="Humnst777 BT" w:cs="Calibri"/>
                <w:lang w:val="en-US" w:eastAsia="ar-SA"/>
              </w:rPr>
              <w:t>Inclusion of additional entry requirements for the Paramedic Practice pathway</w:t>
            </w:r>
          </w:p>
        </w:tc>
        <w:tc>
          <w:tcPr>
            <w:tcW w:w="1985"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p>
        </w:tc>
        <w:tc>
          <w:tcPr>
            <w:tcW w:w="2126"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r w:rsidRPr="007C7A36">
              <w:rPr>
                <w:rFonts w:ascii="Humnst777 BT" w:eastAsia="Times New Roman" w:hAnsi="Humnst777 BT" w:cs="Calibri"/>
                <w:bCs/>
                <w:lang w:val="en-US" w:eastAsia="ar-SA"/>
              </w:rPr>
              <w:t>September 2015</w:t>
            </w:r>
          </w:p>
        </w:tc>
      </w:tr>
      <w:tr w:rsidR="007C7A36" w:rsidRPr="007C7A36" w:rsidTr="00BA5AB7">
        <w:tc>
          <w:tcPr>
            <w:tcW w:w="4224" w:type="dxa"/>
          </w:tcPr>
          <w:p w:rsidR="007C7A36" w:rsidRPr="007C7A36" w:rsidRDefault="007C7A36" w:rsidP="007C7A36">
            <w:pPr>
              <w:suppressAutoHyphens/>
              <w:spacing w:after="0" w:line="240" w:lineRule="auto"/>
              <w:rPr>
                <w:rFonts w:ascii="Humnst777 BT" w:eastAsia="Times New Roman" w:hAnsi="Humnst777 BT" w:cs="Calibri"/>
                <w:lang w:val="en-US" w:eastAsia="ar-SA"/>
              </w:rPr>
            </w:pPr>
            <w:r w:rsidRPr="007C7A36">
              <w:rPr>
                <w:rFonts w:ascii="Humnst777 BT" w:eastAsia="Times New Roman" w:hAnsi="Humnst777 BT" w:cs="Calibri"/>
                <w:lang w:val="en-US" w:eastAsia="ar-SA"/>
              </w:rPr>
              <w:t>Amendment of ‘Practice Portfolio’ to ‘Work Place Evidence Tools’</w:t>
            </w:r>
          </w:p>
        </w:tc>
        <w:tc>
          <w:tcPr>
            <w:tcW w:w="1985"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p>
        </w:tc>
        <w:tc>
          <w:tcPr>
            <w:tcW w:w="2126"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r w:rsidRPr="007C7A36">
              <w:rPr>
                <w:rFonts w:ascii="Humnst777 BT" w:eastAsia="Times New Roman" w:hAnsi="Humnst777 BT" w:cs="Calibri"/>
                <w:bCs/>
                <w:lang w:val="en-US" w:eastAsia="ar-SA"/>
              </w:rPr>
              <w:t>September 2015</w:t>
            </w:r>
          </w:p>
        </w:tc>
      </w:tr>
      <w:tr w:rsidR="007C7A36" w:rsidRPr="007C7A36" w:rsidTr="00BA5AB7">
        <w:tc>
          <w:tcPr>
            <w:tcW w:w="4224" w:type="dxa"/>
          </w:tcPr>
          <w:p w:rsidR="007C7A36" w:rsidRPr="007C7A36" w:rsidRDefault="007C7A36" w:rsidP="007C7A36">
            <w:pPr>
              <w:suppressAutoHyphens/>
              <w:spacing w:after="0" w:line="240" w:lineRule="auto"/>
              <w:rPr>
                <w:rFonts w:ascii="Humnst777 BT" w:eastAsia="Times New Roman" w:hAnsi="Humnst777 BT" w:cs="Calibri"/>
                <w:lang w:val="en-US" w:eastAsia="ar-SA"/>
              </w:rPr>
            </w:pPr>
            <w:r w:rsidRPr="007C7A36">
              <w:rPr>
                <w:rFonts w:ascii="Humnst777 BT" w:eastAsia="Times New Roman" w:hAnsi="Humnst777 BT" w:cs="Calibri"/>
                <w:lang w:val="en-US" w:eastAsia="ar-SA"/>
              </w:rPr>
              <w:t>Exclusion of the programme (all pathways) from compensation</w:t>
            </w:r>
          </w:p>
        </w:tc>
        <w:tc>
          <w:tcPr>
            <w:tcW w:w="1985"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p>
        </w:tc>
        <w:tc>
          <w:tcPr>
            <w:tcW w:w="2126" w:type="dxa"/>
          </w:tcPr>
          <w:p w:rsidR="007C7A36" w:rsidRPr="007C7A36" w:rsidRDefault="00E136A8" w:rsidP="007C7A36">
            <w:pPr>
              <w:suppressAutoHyphens/>
              <w:snapToGrid w:val="0"/>
              <w:spacing w:after="0" w:line="240" w:lineRule="auto"/>
              <w:rPr>
                <w:rFonts w:ascii="Humnst777 BT" w:eastAsia="Times New Roman" w:hAnsi="Humnst777 BT" w:cs="Calibri"/>
                <w:bCs/>
                <w:lang w:val="en-US" w:eastAsia="ar-SA"/>
              </w:rPr>
            </w:pPr>
            <w:r>
              <w:rPr>
                <w:rFonts w:ascii="Humnst777 BT" w:eastAsia="Times New Roman" w:hAnsi="Humnst777 BT" w:cs="Calibri"/>
                <w:bCs/>
                <w:lang w:val="en-US" w:eastAsia="ar-SA"/>
              </w:rPr>
              <w:t>April</w:t>
            </w:r>
            <w:r w:rsidR="007C7A36" w:rsidRPr="007C7A36">
              <w:rPr>
                <w:rFonts w:ascii="Humnst777 BT" w:eastAsia="Times New Roman" w:hAnsi="Humnst777 BT" w:cs="Calibri"/>
                <w:bCs/>
                <w:lang w:val="en-US" w:eastAsia="ar-SA"/>
              </w:rPr>
              <w:t xml:space="preserve"> 2015</w:t>
            </w:r>
          </w:p>
        </w:tc>
      </w:tr>
      <w:tr w:rsidR="007C7A36" w:rsidRPr="007C7A36" w:rsidTr="00BA5AB7">
        <w:tc>
          <w:tcPr>
            <w:tcW w:w="4224" w:type="dxa"/>
          </w:tcPr>
          <w:p w:rsidR="007C7A36" w:rsidRPr="007C7A36" w:rsidRDefault="007C7A36" w:rsidP="007C7A36">
            <w:pPr>
              <w:suppressAutoHyphens/>
              <w:spacing w:after="0" w:line="240" w:lineRule="auto"/>
              <w:rPr>
                <w:rFonts w:ascii="Humnst777 BT" w:eastAsia="Times New Roman" w:hAnsi="Humnst777 BT" w:cs="Calibri"/>
                <w:lang w:val="en-US" w:eastAsia="ar-SA"/>
              </w:rPr>
            </w:pPr>
            <w:r w:rsidRPr="007C7A36">
              <w:rPr>
                <w:rFonts w:ascii="Humnst777 BT" w:eastAsia="Times New Roman" w:hAnsi="Humnst777 BT" w:cs="Calibri"/>
                <w:lang w:val="en-US" w:eastAsia="ar-SA"/>
              </w:rPr>
              <w:t>Inclusion of a statement that stipulates students on the Paramedic Practice pathway are only eligible for one resit attempt at practice assessment in levels 4 and 5.</w:t>
            </w:r>
          </w:p>
        </w:tc>
        <w:tc>
          <w:tcPr>
            <w:tcW w:w="1985"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p>
        </w:tc>
        <w:tc>
          <w:tcPr>
            <w:tcW w:w="2126"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r w:rsidRPr="007C7A36">
              <w:rPr>
                <w:rFonts w:ascii="Humnst777 BT" w:eastAsia="Times New Roman" w:hAnsi="Humnst777 BT" w:cs="Calibri"/>
                <w:bCs/>
                <w:lang w:val="en-US" w:eastAsia="ar-SA"/>
              </w:rPr>
              <w:t>September 2015</w:t>
            </w:r>
          </w:p>
        </w:tc>
      </w:tr>
      <w:tr w:rsidR="007C7A36" w:rsidRPr="007C7A36" w:rsidTr="00BA5AB7">
        <w:tc>
          <w:tcPr>
            <w:tcW w:w="4224" w:type="dxa"/>
          </w:tcPr>
          <w:p w:rsidR="007C7A36" w:rsidRPr="007C7A36" w:rsidRDefault="007C7A36" w:rsidP="007C7A36">
            <w:pPr>
              <w:suppressAutoHyphens/>
              <w:spacing w:after="0" w:line="240" w:lineRule="auto"/>
              <w:rPr>
                <w:rFonts w:ascii="Humnst777 BT" w:eastAsia="Times New Roman" w:hAnsi="Humnst777 BT" w:cs="Calibri"/>
                <w:lang w:val="en-US" w:eastAsia="ar-SA"/>
              </w:rPr>
            </w:pPr>
            <w:r w:rsidRPr="007C7A36">
              <w:rPr>
                <w:rFonts w:ascii="Humnst777 BT" w:eastAsia="Times New Roman" w:hAnsi="Humnst777 BT" w:cs="Calibri"/>
                <w:lang w:val="en-US" w:eastAsia="ar-SA"/>
              </w:rPr>
              <w:t xml:space="preserve">Addition of a statement that clarifies </w:t>
            </w:r>
            <w:proofErr w:type="spellStart"/>
            <w:r w:rsidRPr="007C7A36">
              <w:rPr>
                <w:rFonts w:ascii="Humnst777 BT" w:eastAsia="Times New Roman" w:hAnsi="Humnst777 BT" w:cs="Calibri"/>
                <w:lang w:val="en-US" w:eastAsia="ar-SA"/>
              </w:rPr>
              <w:t>aegrotat</w:t>
            </w:r>
            <w:proofErr w:type="spellEnd"/>
            <w:r w:rsidRPr="007C7A36">
              <w:rPr>
                <w:rFonts w:ascii="Humnst777 BT" w:eastAsia="Times New Roman" w:hAnsi="Humnst777 BT" w:cs="Calibri"/>
                <w:lang w:val="en-US" w:eastAsia="ar-SA"/>
              </w:rPr>
              <w:t xml:space="preserve"> awards do not provide eligibility to apply for entry to the professional register.</w:t>
            </w:r>
          </w:p>
        </w:tc>
        <w:tc>
          <w:tcPr>
            <w:tcW w:w="1985"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p>
        </w:tc>
        <w:tc>
          <w:tcPr>
            <w:tcW w:w="2126"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r w:rsidRPr="007C7A36">
              <w:rPr>
                <w:rFonts w:ascii="Humnst777 BT" w:eastAsia="Times New Roman" w:hAnsi="Humnst777 BT" w:cs="Calibri"/>
                <w:bCs/>
                <w:lang w:val="en-US" w:eastAsia="ar-SA"/>
              </w:rPr>
              <w:t>September 2015</w:t>
            </w:r>
          </w:p>
        </w:tc>
      </w:tr>
      <w:tr w:rsidR="007C7A36" w:rsidRPr="007C7A36" w:rsidTr="00BA5AB7">
        <w:tc>
          <w:tcPr>
            <w:tcW w:w="4224" w:type="dxa"/>
          </w:tcPr>
          <w:p w:rsidR="007C7A36" w:rsidRPr="007C7A36" w:rsidRDefault="007C7A36" w:rsidP="007C7A36">
            <w:pPr>
              <w:suppressAutoHyphens/>
              <w:spacing w:after="0" w:line="240" w:lineRule="auto"/>
              <w:rPr>
                <w:rFonts w:ascii="Humnst777 BT" w:eastAsia="Times New Roman" w:hAnsi="Humnst777 BT" w:cs="Calibri"/>
                <w:lang w:val="en-US" w:eastAsia="ar-SA"/>
              </w:rPr>
            </w:pPr>
            <w:r w:rsidRPr="007C7A36">
              <w:rPr>
                <w:rFonts w:ascii="Humnst777 BT" w:eastAsia="Times New Roman" w:hAnsi="Humnst777 BT" w:cs="Calibri"/>
                <w:lang w:val="en-US" w:eastAsia="ar-SA"/>
              </w:rPr>
              <w:t>Addition of a statement that clarifies at least one external examiner should be on the appropriate part of the relevant professional register.</w:t>
            </w:r>
          </w:p>
        </w:tc>
        <w:tc>
          <w:tcPr>
            <w:tcW w:w="1985"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p>
        </w:tc>
        <w:tc>
          <w:tcPr>
            <w:tcW w:w="2126" w:type="dxa"/>
          </w:tcPr>
          <w:p w:rsidR="007C7A36" w:rsidRPr="007C7A36" w:rsidRDefault="007C7A36" w:rsidP="007C7A36">
            <w:pPr>
              <w:suppressAutoHyphens/>
              <w:snapToGrid w:val="0"/>
              <w:spacing w:after="0" w:line="240" w:lineRule="auto"/>
              <w:rPr>
                <w:rFonts w:ascii="Humnst777 BT" w:eastAsia="Times New Roman" w:hAnsi="Humnst777 BT" w:cs="Calibri"/>
                <w:bCs/>
                <w:lang w:val="en-US" w:eastAsia="ar-SA"/>
              </w:rPr>
            </w:pPr>
            <w:r w:rsidRPr="007C7A36">
              <w:rPr>
                <w:rFonts w:ascii="Humnst777 BT" w:eastAsia="Times New Roman" w:hAnsi="Humnst777 BT" w:cs="Calibri"/>
                <w:bCs/>
                <w:lang w:val="en-US" w:eastAsia="ar-SA"/>
              </w:rPr>
              <w:t>September 2015</w:t>
            </w:r>
          </w:p>
        </w:tc>
      </w:tr>
    </w:tbl>
    <w:p w:rsidR="007C7A36" w:rsidRPr="007C7A36" w:rsidRDefault="007C7A36" w:rsidP="007C7A36">
      <w:pPr>
        <w:spacing w:after="0" w:line="276" w:lineRule="auto"/>
        <w:jc w:val="both"/>
        <w:rPr>
          <w:rFonts w:ascii="Times New Roman" w:eastAsia="Times New Roman" w:hAnsi="Times New Roman" w:cs="Times New Roman"/>
          <w:sz w:val="24"/>
          <w:lang w:val="en-US"/>
        </w:rPr>
      </w:pPr>
    </w:p>
    <w:p w:rsidR="009569AC" w:rsidRDefault="009569AC"/>
    <w:sectPr w:rsidR="00956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C89"/>
    <w:multiLevelType w:val="hybridMultilevel"/>
    <w:tmpl w:val="843A3DE2"/>
    <w:lvl w:ilvl="0" w:tplc="FFFFFFFF">
      <w:start w:val="1"/>
      <w:numFmt w:val="decimal"/>
      <w:lvlText w:val="%1"/>
      <w:lvlJc w:val="lef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nsid w:val="66866C8A"/>
    <w:multiLevelType w:val="hybridMultilevel"/>
    <w:tmpl w:val="99799375"/>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66866C8B"/>
    <w:multiLevelType w:val="hybridMultilevel"/>
    <w:tmpl w:val="99799374"/>
    <w:lvl w:ilvl="0" w:tplc="FFFFFFFF">
      <w:start w:val="2"/>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66866C8C"/>
    <w:multiLevelType w:val="hybridMultilevel"/>
    <w:tmpl w:val="99799373"/>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36"/>
    <w:rsid w:val="007C7A36"/>
    <w:rsid w:val="00925E62"/>
    <w:rsid w:val="009569AC"/>
    <w:rsid w:val="00E136A8"/>
    <w:rsid w:val="00F9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DA70136D</Template>
  <TotalTime>1</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Felstead, Ian (ian.felstead@canterbury.ac.uk)</dc:creator>
  <cp:lastModifiedBy>sc313</cp:lastModifiedBy>
  <cp:revision>4</cp:revision>
  <dcterms:created xsi:type="dcterms:W3CDTF">2015-04-29T16:08:00Z</dcterms:created>
  <dcterms:modified xsi:type="dcterms:W3CDTF">2015-07-20T11:15:00Z</dcterms:modified>
</cp:coreProperties>
</file>