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37" w:rsidRDefault="00355737">
      <w:pPr>
        <w:rPr>
          <w:rFonts w:ascii="Humnst777 Lt BT" w:hAnsi="Humnst777 Lt BT"/>
          <w:b/>
          <w:sz w:val="22"/>
          <w:szCs w:val="22"/>
        </w:rPr>
      </w:pPr>
    </w:p>
    <w:p w:rsidR="007D28E1" w:rsidRDefault="00355737" w:rsidP="00355737">
      <w:pPr>
        <w:jc w:val="center"/>
        <w:rPr>
          <w:rFonts w:ascii="Humnst777 Lt BT" w:hAnsi="Humnst777 Lt BT"/>
          <w:sz w:val="22"/>
          <w:szCs w:val="22"/>
        </w:rPr>
      </w:pPr>
      <w:r w:rsidRPr="00355737">
        <w:rPr>
          <w:rFonts w:ascii="Humnst777 Lt BT" w:hAnsi="Humnst777 Lt BT"/>
          <w:b/>
          <w:sz w:val="22"/>
          <w:szCs w:val="22"/>
        </w:rPr>
        <w:t>University Requirements for Assessment Briefs for Students</w:t>
      </w:r>
    </w:p>
    <w:p w:rsidR="00355737" w:rsidRDefault="00355737">
      <w:pPr>
        <w:rPr>
          <w:rFonts w:ascii="Humnst777 Lt BT" w:hAnsi="Humnst777 Lt BT"/>
          <w:sz w:val="22"/>
          <w:szCs w:val="22"/>
        </w:rPr>
      </w:pPr>
    </w:p>
    <w:p w:rsidR="00B61926" w:rsidRDefault="00355737">
      <w:pPr>
        <w:rPr>
          <w:rFonts w:ascii="Humnst777 Lt BT" w:hAnsi="Humnst777 Lt BT"/>
          <w:sz w:val="22"/>
          <w:szCs w:val="22"/>
        </w:rPr>
      </w:pPr>
      <w:r>
        <w:rPr>
          <w:rFonts w:ascii="Humnst777 Lt BT" w:hAnsi="Humnst777 Lt BT"/>
          <w:sz w:val="22"/>
          <w:szCs w:val="22"/>
        </w:rPr>
        <w:t xml:space="preserve">Clear and detailed descriptions of assessment requirements are essential to ensure students have the information they need to succeed in their academic work. A substantive number of students’ qualitative comments in the NSS and USS pertain to the organisation of and communication about their assessment. In order to ensure students have clear, consistent, and quality information about their assessments the University Learning, Teaching and Assessment Committee has approved minimum requirements for assessment briefs. The information below details these requirements. </w:t>
      </w:r>
    </w:p>
    <w:p w:rsidR="00355737" w:rsidRDefault="00355737">
      <w:pPr>
        <w:rPr>
          <w:rFonts w:ascii="Humnst777 Lt BT" w:hAnsi="Humnst777 Lt BT"/>
          <w:sz w:val="22"/>
          <w:szCs w:val="22"/>
        </w:rPr>
      </w:pPr>
      <w:r>
        <w:rPr>
          <w:rFonts w:ascii="Humnst777 Lt BT" w:hAnsi="Humnst777 Lt BT"/>
          <w:sz w:val="22"/>
          <w:szCs w:val="22"/>
        </w:rPr>
        <w:t xml:space="preserve">As of September 2015, for ALL summative assessments students should receive assessment briefs which meet these criteria. </w:t>
      </w:r>
    </w:p>
    <w:p w:rsidR="00355737" w:rsidRDefault="00355737">
      <w:pPr>
        <w:rPr>
          <w:rFonts w:ascii="Humnst777 Lt BT" w:hAnsi="Humnst777 Lt BT"/>
          <w:sz w:val="22"/>
          <w:szCs w:val="22"/>
        </w:rPr>
      </w:pPr>
    </w:p>
    <w:p w:rsidR="00355737" w:rsidRDefault="00355737" w:rsidP="00355737">
      <w:pPr>
        <w:pStyle w:val="ListParagraph"/>
        <w:ind w:left="0"/>
        <w:jc w:val="both"/>
        <w:rPr>
          <w:rFonts w:ascii="Humnst777 Lt BT" w:hAnsi="Humnst777 Lt BT"/>
        </w:rPr>
      </w:pPr>
      <w:r w:rsidRPr="00CE1046">
        <w:rPr>
          <w:rFonts w:ascii="Humnst777 Lt BT" w:hAnsi="Humnst777 Lt BT"/>
        </w:rPr>
        <w:t xml:space="preserve">Written descriptions of each assessment </w:t>
      </w:r>
      <w:r>
        <w:rPr>
          <w:rFonts w:ascii="Humnst777 Lt BT" w:hAnsi="Humnst777 Lt BT"/>
        </w:rPr>
        <w:t xml:space="preserve">should be available to students </w:t>
      </w:r>
      <w:r w:rsidRPr="00DC7550">
        <w:rPr>
          <w:rFonts w:ascii="Humnst777 Lt BT" w:hAnsi="Humnst777 Lt BT"/>
          <w:b/>
        </w:rPr>
        <w:t>at the beginning of the module</w:t>
      </w:r>
      <w:r>
        <w:rPr>
          <w:rFonts w:ascii="Humnst777 Lt BT" w:hAnsi="Humnst777 Lt BT"/>
        </w:rPr>
        <w:t xml:space="preserve"> and should provide students with a clear brief on the assignment and on how success can be achieved. As a minimum the assessment brief should contain: </w:t>
      </w:r>
    </w:p>
    <w:p w:rsidR="00355737" w:rsidRDefault="00355737" w:rsidP="00355737">
      <w:pPr>
        <w:pStyle w:val="ListParagraph"/>
        <w:ind w:left="0"/>
        <w:jc w:val="both"/>
        <w:rPr>
          <w:rFonts w:ascii="Humnst777 Lt BT" w:hAnsi="Humnst777 Lt BT"/>
        </w:rPr>
      </w:pP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Module name</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Assessment type/format</w:t>
      </w:r>
    </w:p>
    <w:p w:rsidR="00355737" w:rsidRDefault="00355737" w:rsidP="00355737">
      <w:pPr>
        <w:pStyle w:val="ListParagraph"/>
        <w:numPr>
          <w:ilvl w:val="0"/>
          <w:numId w:val="1"/>
        </w:numPr>
        <w:ind w:left="709"/>
        <w:jc w:val="both"/>
        <w:rPr>
          <w:rFonts w:ascii="Humnst777 Lt BT" w:hAnsi="Humnst777 Lt BT"/>
        </w:rPr>
      </w:pPr>
      <w:r>
        <w:rPr>
          <w:rFonts w:ascii="Humnst777 Lt BT" w:hAnsi="Humnst777 Lt BT"/>
        </w:rPr>
        <w:t>Weighting/contribution to the module mark</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 xml:space="preserve">Assessment deadline </w:t>
      </w:r>
      <w:r>
        <w:rPr>
          <w:rFonts w:ascii="Humnst777 Lt BT" w:hAnsi="Humnst777 Lt BT"/>
        </w:rPr>
        <w:t xml:space="preserve">date </w:t>
      </w:r>
      <w:r w:rsidRPr="00CE1046">
        <w:rPr>
          <w:rFonts w:ascii="Humnst777 Lt BT" w:hAnsi="Humnst777 Lt BT"/>
        </w:rPr>
        <w:t xml:space="preserve">and </w:t>
      </w:r>
      <w:r>
        <w:rPr>
          <w:rFonts w:ascii="Humnst777 Lt BT" w:hAnsi="Humnst777 Lt BT"/>
        </w:rPr>
        <w:t xml:space="preserve">the date and </w:t>
      </w:r>
      <w:r w:rsidRPr="00CE1046">
        <w:rPr>
          <w:rFonts w:ascii="Humnst777 Lt BT" w:hAnsi="Humnst777 Lt BT"/>
        </w:rPr>
        <w:t xml:space="preserve">method of </w:t>
      </w:r>
      <w:r>
        <w:rPr>
          <w:rFonts w:ascii="Humnst777 Lt BT" w:hAnsi="Humnst777 Lt BT"/>
        </w:rPr>
        <w:t xml:space="preserve">formal </w:t>
      </w:r>
      <w:r w:rsidRPr="00CE1046">
        <w:rPr>
          <w:rFonts w:ascii="Humnst777 Lt BT" w:hAnsi="Humnst777 Lt BT"/>
        </w:rPr>
        <w:t>feedback</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Format required for submission (</w:t>
      </w:r>
      <w:r w:rsidR="00D04CED" w:rsidRPr="00CE1046">
        <w:rPr>
          <w:rFonts w:ascii="Humnst777 Lt BT" w:hAnsi="Humnst777 Lt BT"/>
        </w:rPr>
        <w:t>e.g.</w:t>
      </w:r>
      <w:r w:rsidRPr="00CE1046">
        <w:rPr>
          <w:rFonts w:ascii="Humnst777 Lt BT" w:hAnsi="Humnst777 Lt BT"/>
        </w:rPr>
        <w:t>, how and where should it be submitted, restrictions on the format, etc.)</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Assessment length requirements (word count/equivalence)</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Referencing requirements</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Confidentiality requirements (if applicable)</w:t>
      </w:r>
    </w:p>
    <w:p w:rsidR="00355737" w:rsidRDefault="00355737" w:rsidP="00355737">
      <w:pPr>
        <w:pStyle w:val="ListParagraph"/>
        <w:numPr>
          <w:ilvl w:val="0"/>
          <w:numId w:val="1"/>
        </w:numPr>
        <w:ind w:left="709"/>
        <w:jc w:val="both"/>
        <w:rPr>
          <w:rFonts w:ascii="Humnst777 Lt BT" w:hAnsi="Humnst777 Lt BT"/>
        </w:rPr>
      </w:pPr>
      <w:r>
        <w:rPr>
          <w:rFonts w:ascii="Humnst777 Lt BT" w:hAnsi="Humnst777 Lt BT"/>
        </w:rPr>
        <w:t>Ethical requirements (if applicable)</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Assessment description (</w:t>
      </w:r>
      <w:r>
        <w:rPr>
          <w:rFonts w:ascii="Humnst777 Lt BT" w:hAnsi="Humnst777 Lt BT"/>
        </w:rPr>
        <w:t>The description should take account of the guidance in the Assessment Handbook on writing assessment briefs)</w:t>
      </w:r>
    </w:p>
    <w:p w:rsidR="00355737" w:rsidRDefault="00355737" w:rsidP="00355737">
      <w:pPr>
        <w:pStyle w:val="ListParagraph"/>
        <w:numPr>
          <w:ilvl w:val="0"/>
          <w:numId w:val="1"/>
        </w:numPr>
        <w:ind w:left="709"/>
        <w:jc w:val="both"/>
        <w:rPr>
          <w:rFonts w:ascii="Humnst777 Lt BT" w:hAnsi="Humnst777 Lt BT"/>
        </w:rPr>
      </w:pPr>
      <w:r w:rsidRPr="00CE1046">
        <w:rPr>
          <w:rFonts w:ascii="Humnst777 Lt BT" w:hAnsi="Humnst777 Lt BT"/>
        </w:rPr>
        <w:t>Marking Criteria</w:t>
      </w:r>
    </w:p>
    <w:p w:rsidR="00B61926" w:rsidRDefault="00B61926" w:rsidP="00B61926">
      <w:pPr>
        <w:jc w:val="both"/>
        <w:rPr>
          <w:rFonts w:ascii="Humnst777 Lt BT" w:hAnsi="Humnst777 Lt BT"/>
        </w:rPr>
      </w:pPr>
    </w:p>
    <w:p w:rsidR="00B61926" w:rsidRDefault="00B61926" w:rsidP="00B61926">
      <w:pPr>
        <w:rPr>
          <w:rFonts w:ascii="Humnst777 Lt BT" w:hAnsi="Humnst777 Lt BT"/>
          <w:sz w:val="22"/>
          <w:szCs w:val="22"/>
        </w:rPr>
      </w:pPr>
      <w:r>
        <w:rPr>
          <w:rFonts w:ascii="Humnst777 Lt BT" w:hAnsi="Humnst777 Lt BT"/>
        </w:rPr>
        <w:t xml:space="preserve">A </w:t>
      </w:r>
      <w:r>
        <w:rPr>
          <w:rFonts w:ascii="Humnst777 Lt BT" w:hAnsi="Humnst777 Lt BT"/>
          <w:sz w:val="22"/>
          <w:szCs w:val="22"/>
        </w:rPr>
        <w:t xml:space="preserve">sample template has been drafted which incorporates the above requirements. Use of this document is entirely optional. Staff are welcome to use other formats for assessment briefs as long as they meet the minimum requirements. The sample template </w:t>
      </w:r>
      <w:r w:rsidR="00D04CED">
        <w:rPr>
          <w:rFonts w:ascii="Humnst777 Lt BT" w:hAnsi="Humnst777 Lt BT"/>
          <w:sz w:val="22"/>
          <w:szCs w:val="22"/>
        </w:rPr>
        <w:t>is available on the Quality and Standards Office</w:t>
      </w:r>
      <w:bookmarkStart w:id="0" w:name="_GoBack"/>
      <w:bookmarkEnd w:id="0"/>
      <w:r w:rsidR="00D04CED">
        <w:rPr>
          <w:rFonts w:ascii="Humnst777 Lt BT" w:hAnsi="Humnst777 Lt BT"/>
          <w:sz w:val="22"/>
          <w:szCs w:val="22"/>
        </w:rPr>
        <w:t xml:space="preserve"> A-Z.</w:t>
      </w:r>
    </w:p>
    <w:p w:rsidR="00B61926" w:rsidRPr="00B61926" w:rsidRDefault="00B61926" w:rsidP="00B61926">
      <w:pPr>
        <w:jc w:val="both"/>
        <w:rPr>
          <w:rFonts w:ascii="Humnst777 Lt BT" w:hAnsi="Humnst777 Lt BT"/>
        </w:rPr>
      </w:pPr>
    </w:p>
    <w:sectPr w:rsidR="00B61926" w:rsidRPr="00B61926" w:rsidSect="00166F0E">
      <w:headerReference w:type="first" r:id="rId7"/>
      <w:pgSz w:w="11906" w:h="16838" w:code="9"/>
      <w:pgMar w:top="2285"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AD" w:rsidRDefault="00153DAD">
      <w:r>
        <w:separator/>
      </w:r>
    </w:p>
  </w:endnote>
  <w:endnote w:type="continuationSeparator" w:id="0">
    <w:p w:rsidR="00153DAD" w:rsidRDefault="0015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AD" w:rsidRDefault="00153DAD">
      <w:r>
        <w:separator/>
      </w:r>
    </w:p>
  </w:footnote>
  <w:footnote w:type="continuationSeparator" w:id="0">
    <w:p w:rsidR="00153DAD" w:rsidRDefault="0015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0E" w:rsidRDefault="00540A09">
    <w:pPr>
      <w:pStyle w:val="Heade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85090</wp:posOffset>
          </wp:positionV>
          <wp:extent cx="2171700" cy="883285"/>
          <wp:effectExtent l="0" t="0" r="0" b="0"/>
          <wp:wrapTight wrapText="bothSides">
            <wp:wrapPolygon edited="0">
              <wp:start x="3979" y="2795"/>
              <wp:lineTo x="3600" y="5124"/>
              <wp:lineTo x="2274" y="11180"/>
              <wp:lineTo x="1326" y="14441"/>
              <wp:lineTo x="1326" y="17237"/>
              <wp:lineTo x="2463" y="18634"/>
              <wp:lineTo x="16295" y="18634"/>
              <wp:lineTo x="17242" y="17702"/>
              <wp:lineTo x="20463" y="12578"/>
              <wp:lineTo x="20653" y="6522"/>
              <wp:lineTo x="15916" y="4193"/>
              <wp:lineTo x="5495" y="2795"/>
              <wp:lineTo x="3979" y="2795"/>
            </wp:wrapPolygon>
          </wp:wrapTight>
          <wp:docPr id="2" name="Picture 2" descr="CCCU logo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U logo -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6B4"/>
    <w:multiLevelType w:val="hybridMultilevel"/>
    <w:tmpl w:val="B1660D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37"/>
    <w:rsid w:val="0008503D"/>
    <w:rsid w:val="00153DAD"/>
    <w:rsid w:val="00166F0E"/>
    <w:rsid w:val="002E22E0"/>
    <w:rsid w:val="00355737"/>
    <w:rsid w:val="004B68DD"/>
    <w:rsid w:val="004F1F76"/>
    <w:rsid w:val="00540A09"/>
    <w:rsid w:val="00543BF9"/>
    <w:rsid w:val="006F6D66"/>
    <w:rsid w:val="007D28E1"/>
    <w:rsid w:val="0097147F"/>
    <w:rsid w:val="00B52E4E"/>
    <w:rsid w:val="00B61926"/>
    <w:rsid w:val="00D04CED"/>
    <w:rsid w:val="00DC7550"/>
    <w:rsid w:val="00E2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B497F"/>
  <w15:chartTrackingRefBased/>
  <w15:docId w15:val="{A01A1B2D-571D-4C41-84A0-29F6BE56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F76"/>
    <w:pPr>
      <w:tabs>
        <w:tab w:val="center" w:pos="4153"/>
        <w:tab w:val="right" w:pos="8306"/>
      </w:tabs>
    </w:pPr>
  </w:style>
  <w:style w:type="paragraph" w:styleId="Footer">
    <w:name w:val="footer"/>
    <w:basedOn w:val="Normal"/>
    <w:rsid w:val="004F1F76"/>
    <w:pPr>
      <w:tabs>
        <w:tab w:val="center" w:pos="4153"/>
        <w:tab w:val="right" w:pos="8306"/>
      </w:tabs>
    </w:pPr>
  </w:style>
  <w:style w:type="paragraph" w:styleId="ListParagraph">
    <w:name w:val="List Paragraph"/>
    <w:basedOn w:val="Normal"/>
    <w:qFormat/>
    <w:rsid w:val="0035573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128\Documents\Custom%20Office%20Templates\Blank%20with%20Colour%20CCCU%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with Colour CCCU Logo</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 College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Collins, Suzanne (suzanne.collins@canterbury.ac.uk)</cp:lastModifiedBy>
  <cp:revision>3</cp:revision>
  <dcterms:created xsi:type="dcterms:W3CDTF">2017-04-25T10:00:00Z</dcterms:created>
  <dcterms:modified xsi:type="dcterms:W3CDTF">2017-04-25T10:01:00Z</dcterms:modified>
</cp:coreProperties>
</file>