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9C29" w14:textId="77777777" w:rsidR="00024486" w:rsidRPr="008D6FB1" w:rsidRDefault="00817FF0" w:rsidP="00817FF0">
      <w:pPr>
        <w:spacing w:after="0" w:line="240" w:lineRule="auto"/>
        <w:jc w:val="center"/>
        <w:rPr>
          <w:rFonts w:ascii="Humnst777 BT" w:hAnsi="Humnst777 BT"/>
        </w:rPr>
      </w:pPr>
      <w:r w:rsidRPr="008D6FB1">
        <w:rPr>
          <w:rFonts w:ascii="Humnst777 BT" w:hAnsi="Humnst777 BT"/>
          <w:b/>
          <w:noProof/>
          <w:sz w:val="28"/>
          <w:szCs w:val="28"/>
          <w:lang w:eastAsia="en-GB"/>
        </w:rPr>
        <w:drawing>
          <wp:inline distT="0" distB="0" distL="0" distR="0" wp14:anchorId="6826D943" wp14:editId="3569DF05">
            <wp:extent cx="5001260" cy="2032000"/>
            <wp:effectExtent l="19050" t="0" r="8890" b="0"/>
            <wp:docPr id="1" name="Picture 1" descr="CCCU-logo-2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2colou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B39FDE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4E08F2B8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48546C56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69CD03DE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791A59AD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02EF2F9F" w14:textId="77777777" w:rsidR="00024486" w:rsidRDefault="00024486" w:rsidP="008D6FB1">
      <w:pPr>
        <w:spacing w:after="0" w:line="240" w:lineRule="auto"/>
        <w:rPr>
          <w:rFonts w:ascii="Humnst777 BT" w:hAnsi="Humnst777 BT"/>
        </w:rPr>
      </w:pPr>
    </w:p>
    <w:p w14:paraId="2D029E49" w14:textId="77777777" w:rsidR="00CA7A45" w:rsidRDefault="00CA7A45" w:rsidP="008D6FB1">
      <w:pPr>
        <w:spacing w:after="0" w:line="240" w:lineRule="auto"/>
        <w:rPr>
          <w:rFonts w:ascii="Humnst777 BT" w:hAnsi="Humnst777 BT"/>
        </w:rPr>
      </w:pPr>
    </w:p>
    <w:p w14:paraId="587F20D9" w14:textId="77777777" w:rsidR="00CA7A45" w:rsidRPr="008D6FB1" w:rsidRDefault="00CA7A45" w:rsidP="008D6FB1">
      <w:pPr>
        <w:spacing w:after="0" w:line="240" w:lineRule="auto"/>
        <w:rPr>
          <w:rFonts w:ascii="Humnst777 BT" w:hAnsi="Humnst777 BT"/>
        </w:rPr>
      </w:pPr>
    </w:p>
    <w:p w14:paraId="201C1CDF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718C4A09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2E012FDC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7E95D6AC" w14:textId="77777777" w:rsidR="00024486" w:rsidRPr="008D6FB1" w:rsidRDefault="00CA7A45" w:rsidP="008D6FB1">
      <w:pPr>
        <w:spacing w:after="0" w:line="240" w:lineRule="auto"/>
        <w:jc w:val="center"/>
        <w:rPr>
          <w:rFonts w:ascii="Humnst777 BT" w:hAnsi="Humnst777 BT" w:cs="Arial"/>
          <w:sz w:val="56"/>
          <w:szCs w:val="56"/>
        </w:rPr>
      </w:pPr>
      <w:r w:rsidRPr="00900907">
        <w:rPr>
          <w:rFonts w:ascii="Humnst777 BT" w:hAnsi="Humnst777 BT" w:cs="Arial"/>
          <w:sz w:val="56"/>
          <w:szCs w:val="56"/>
          <w:highlight w:val="cyan"/>
        </w:rPr>
        <w:t>&lt;Department name&gt;</w:t>
      </w:r>
      <w:r w:rsidR="00024486" w:rsidRPr="008D6FB1">
        <w:rPr>
          <w:rFonts w:ascii="Humnst777 BT" w:hAnsi="Humnst777 BT" w:cs="Arial"/>
          <w:sz w:val="56"/>
          <w:szCs w:val="56"/>
        </w:rPr>
        <w:t xml:space="preserve"> </w:t>
      </w:r>
    </w:p>
    <w:p w14:paraId="555976D3" w14:textId="77777777" w:rsidR="00024486" w:rsidRPr="008D6FB1" w:rsidRDefault="00024486" w:rsidP="008D6FB1">
      <w:pPr>
        <w:spacing w:after="0" w:line="240" w:lineRule="auto"/>
        <w:jc w:val="center"/>
        <w:rPr>
          <w:rFonts w:ascii="Humnst777 BT" w:hAnsi="Humnst777 BT" w:cs="Arial"/>
          <w:sz w:val="56"/>
          <w:szCs w:val="56"/>
        </w:rPr>
      </w:pPr>
    </w:p>
    <w:p w14:paraId="64305DAF" w14:textId="77777777" w:rsidR="00024486" w:rsidRPr="008D6FB1" w:rsidRDefault="00024486" w:rsidP="008D6FB1">
      <w:pPr>
        <w:spacing w:after="0" w:line="240" w:lineRule="auto"/>
        <w:jc w:val="center"/>
        <w:rPr>
          <w:rFonts w:ascii="Humnst777 BT" w:hAnsi="Humnst777 BT" w:cs="Arial"/>
          <w:sz w:val="56"/>
          <w:szCs w:val="56"/>
        </w:rPr>
      </w:pPr>
      <w:r w:rsidRPr="008D6FB1">
        <w:rPr>
          <w:rFonts w:ascii="Humnst777 BT" w:hAnsi="Humnst777 BT" w:cs="Arial"/>
          <w:sz w:val="56"/>
          <w:szCs w:val="56"/>
        </w:rPr>
        <w:t xml:space="preserve">Service Level </w:t>
      </w:r>
      <w:r w:rsidR="00CA7A45">
        <w:rPr>
          <w:rFonts w:ascii="Humnst777 BT" w:hAnsi="Humnst777 BT" w:cs="Arial"/>
          <w:sz w:val="56"/>
          <w:szCs w:val="56"/>
        </w:rPr>
        <w:t>Statement</w:t>
      </w:r>
    </w:p>
    <w:p w14:paraId="2E86E508" w14:textId="77777777" w:rsidR="00024486" w:rsidRPr="008D6FB1" w:rsidRDefault="00024486" w:rsidP="008D6FB1">
      <w:pPr>
        <w:spacing w:after="0" w:line="240" w:lineRule="auto"/>
        <w:rPr>
          <w:rFonts w:ascii="Humnst777 BT" w:hAnsi="Humnst777 BT" w:cs="Arial"/>
          <w:sz w:val="56"/>
          <w:szCs w:val="56"/>
        </w:rPr>
      </w:pPr>
    </w:p>
    <w:p w14:paraId="080D3150" w14:textId="77777777" w:rsidR="00024486" w:rsidRPr="008D6FB1" w:rsidRDefault="00024486" w:rsidP="008D6FB1">
      <w:pPr>
        <w:spacing w:after="0" w:line="240" w:lineRule="auto"/>
        <w:rPr>
          <w:rFonts w:ascii="Humnst777 BT" w:hAnsi="Humnst777 BT" w:cs="Arial"/>
          <w:sz w:val="56"/>
          <w:szCs w:val="56"/>
        </w:rPr>
      </w:pPr>
    </w:p>
    <w:p w14:paraId="7D296F86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ab/>
      </w:r>
    </w:p>
    <w:p w14:paraId="39A860FD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0B9DA6C0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ab/>
      </w:r>
    </w:p>
    <w:p w14:paraId="3A12C940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7DBF6A3F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335BF676" w14:textId="557BE1C5" w:rsidR="00024486" w:rsidRPr="004312C8" w:rsidRDefault="004312C8" w:rsidP="004312C8">
      <w:pPr>
        <w:spacing w:after="0" w:line="240" w:lineRule="auto"/>
        <w:jc w:val="center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 xml:space="preserve">&lt;Italicised guidance is provided throughout. Once you have </w:t>
      </w:r>
      <w:r w:rsidR="003D1E1D" w:rsidRPr="00900907">
        <w:rPr>
          <w:rFonts w:ascii="Humnst777 BT" w:hAnsi="Humnst777 BT"/>
          <w:i/>
          <w:highlight w:val="cyan"/>
        </w:rPr>
        <w:t>filled in</w:t>
      </w:r>
      <w:r w:rsidRPr="00900907">
        <w:rPr>
          <w:rFonts w:ascii="Humnst777 BT" w:hAnsi="Humnst777 BT"/>
          <w:i/>
          <w:highlight w:val="cyan"/>
        </w:rPr>
        <w:t xml:space="preserve"> the template, please delete </w:t>
      </w:r>
      <w:r w:rsidR="003D1E1D" w:rsidRPr="00900907">
        <w:rPr>
          <w:rFonts w:ascii="Humnst777 BT" w:hAnsi="Humnst777 BT"/>
          <w:i/>
          <w:highlight w:val="cyan"/>
        </w:rPr>
        <w:t>all</w:t>
      </w:r>
      <w:r w:rsidRPr="00900907">
        <w:rPr>
          <w:rFonts w:ascii="Humnst777 BT" w:hAnsi="Humnst777 BT"/>
          <w:i/>
          <w:highlight w:val="cyan"/>
        </w:rPr>
        <w:t xml:space="preserve"> guidance text&gt;</w:t>
      </w:r>
    </w:p>
    <w:p w14:paraId="6A0AE535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3F080203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31420C2D" w14:textId="77777777" w:rsidR="00024486" w:rsidRDefault="00024486" w:rsidP="008D6FB1">
      <w:pPr>
        <w:spacing w:after="0" w:line="240" w:lineRule="auto"/>
        <w:rPr>
          <w:rFonts w:ascii="Humnst777 BT" w:hAnsi="Humnst777 BT"/>
        </w:rPr>
      </w:pPr>
    </w:p>
    <w:p w14:paraId="4DD9E114" w14:textId="77777777" w:rsidR="00C800DE" w:rsidRDefault="00C800DE" w:rsidP="008D6FB1">
      <w:pPr>
        <w:spacing w:after="0" w:line="240" w:lineRule="auto"/>
        <w:rPr>
          <w:rFonts w:ascii="Humnst777 BT" w:hAnsi="Humnst777 BT"/>
        </w:rPr>
      </w:pPr>
    </w:p>
    <w:p w14:paraId="3A9CA817" w14:textId="77777777" w:rsidR="00C800DE" w:rsidRDefault="00C800DE" w:rsidP="008D6FB1">
      <w:pPr>
        <w:spacing w:after="0" w:line="240" w:lineRule="auto"/>
        <w:rPr>
          <w:rFonts w:ascii="Humnst777 BT" w:hAnsi="Humnst777 BT"/>
        </w:rPr>
      </w:pPr>
    </w:p>
    <w:p w14:paraId="26E93C72" w14:textId="77777777" w:rsidR="00C800DE" w:rsidRDefault="00C800DE" w:rsidP="008D6FB1">
      <w:pPr>
        <w:spacing w:after="0" w:line="240" w:lineRule="auto"/>
        <w:rPr>
          <w:rFonts w:ascii="Humnst777 BT" w:hAnsi="Humnst777 BT"/>
        </w:rPr>
      </w:pPr>
    </w:p>
    <w:p w14:paraId="5CC09CD5" w14:textId="77777777" w:rsidR="00C800DE" w:rsidRPr="004312C8" w:rsidRDefault="00CA7A45" w:rsidP="00CA7A45">
      <w:pPr>
        <w:spacing w:after="0" w:line="240" w:lineRule="auto"/>
        <w:jc w:val="right"/>
        <w:rPr>
          <w:rFonts w:ascii="Humnst777 BT" w:hAnsi="Humnst777 BT"/>
        </w:rPr>
      </w:pPr>
      <w:r w:rsidRPr="00900907">
        <w:rPr>
          <w:rFonts w:ascii="Humnst777 BT" w:hAnsi="Humnst777 BT"/>
          <w:highlight w:val="cyan"/>
        </w:rPr>
        <w:t>&lt;Month year&gt;</w:t>
      </w:r>
    </w:p>
    <w:p w14:paraId="644D72CA" w14:textId="77777777" w:rsidR="00D815A1" w:rsidRPr="008D6FB1" w:rsidRDefault="00D815A1" w:rsidP="008D6FB1">
      <w:pPr>
        <w:spacing w:after="0" w:line="240" w:lineRule="auto"/>
        <w:rPr>
          <w:rFonts w:ascii="Humnst777 BT" w:hAnsi="Humnst777 BT"/>
        </w:rPr>
      </w:pPr>
    </w:p>
    <w:p w14:paraId="0387E449" w14:textId="6E902FF3" w:rsidR="003E334E" w:rsidRPr="003E334E" w:rsidRDefault="003E334E" w:rsidP="003E334E">
      <w:pPr>
        <w:pStyle w:val="Heading1"/>
        <w:rPr>
          <w:rFonts w:ascii="Humnst777 BT" w:hAnsi="Humnst777 BT"/>
          <w:color w:val="1F4E79" w:themeColor="accent1" w:themeShade="80"/>
        </w:rPr>
      </w:pPr>
      <w:r w:rsidRPr="003E334E">
        <w:rPr>
          <w:rFonts w:ascii="Humnst777 BT" w:hAnsi="Humnst777 BT"/>
          <w:color w:val="1F4E79" w:themeColor="accent1" w:themeShade="80"/>
        </w:rPr>
        <w:lastRenderedPageBreak/>
        <w:t>Section A</w:t>
      </w:r>
    </w:p>
    <w:p w14:paraId="2C8C7EAE" w14:textId="77777777" w:rsidR="003E334E" w:rsidRPr="003E334E" w:rsidRDefault="003E334E" w:rsidP="003E334E"/>
    <w:p w14:paraId="0A39A04E" w14:textId="6742AA30" w:rsidR="00024486" w:rsidRPr="008D6FB1" w:rsidRDefault="001A34EA" w:rsidP="005F2D2D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>
        <w:rPr>
          <w:rFonts w:ascii="Humnst777 BT" w:hAnsi="Humnst777 BT"/>
          <w:color w:val="auto"/>
        </w:rPr>
        <w:t>Objectives of service</w:t>
      </w:r>
      <w:r w:rsidR="00024486" w:rsidRPr="008D6FB1">
        <w:rPr>
          <w:rFonts w:ascii="Humnst777 BT" w:hAnsi="Humnst777 BT"/>
          <w:color w:val="auto"/>
        </w:rPr>
        <w:t xml:space="preserve"> </w:t>
      </w:r>
    </w:p>
    <w:p w14:paraId="5FC7798B" w14:textId="77777777" w:rsidR="008D6FB1" w:rsidRPr="008D6FB1" w:rsidRDefault="008D6FB1" w:rsidP="008D6FB1">
      <w:pPr>
        <w:spacing w:after="0" w:line="240" w:lineRule="auto"/>
        <w:rPr>
          <w:rFonts w:ascii="Humnst777 BT" w:hAnsi="Humnst777 BT"/>
        </w:rPr>
      </w:pPr>
    </w:p>
    <w:p w14:paraId="028EC5F5" w14:textId="4536114D" w:rsidR="00024486" w:rsidRPr="005F2D2D" w:rsidRDefault="00D11C6E" w:rsidP="008D6FB1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highlight w:val="cyan"/>
        </w:rPr>
        <w:t>&lt;</w:t>
      </w:r>
      <w:r w:rsidRPr="00900907">
        <w:rPr>
          <w:rFonts w:ascii="Humnst777 BT" w:hAnsi="Humnst777 BT"/>
          <w:i/>
          <w:highlight w:val="cyan"/>
        </w:rPr>
        <w:t>Use this section to set out the objectives of the service. A bullet-point list will suffice</w:t>
      </w:r>
      <w:r w:rsidR="005F2D2D" w:rsidRPr="00900907">
        <w:rPr>
          <w:rFonts w:ascii="Humnst777 BT" w:hAnsi="Humnst777 BT"/>
          <w:i/>
          <w:highlight w:val="cyan"/>
        </w:rPr>
        <w:t>.</w:t>
      </w:r>
      <w:r w:rsidR="002B6383" w:rsidRPr="00900907">
        <w:rPr>
          <w:rFonts w:ascii="Humnst777 BT" w:hAnsi="Humnst777 BT"/>
          <w:i/>
          <w:highlight w:val="cyan"/>
        </w:rPr>
        <w:t xml:space="preserve"> An example from Estates and Facilities is provided</w:t>
      </w:r>
      <w:r w:rsidR="005F2D2D" w:rsidRPr="00900907">
        <w:rPr>
          <w:rFonts w:ascii="Humnst777 BT" w:hAnsi="Humnst777 BT"/>
          <w:i/>
          <w:highlight w:val="cyan"/>
        </w:rPr>
        <w:t>&gt;</w:t>
      </w:r>
    </w:p>
    <w:p w14:paraId="3A4CF02B" w14:textId="77777777" w:rsidR="002B6383" w:rsidRDefault="002B6383" w:rsidP="002B6383">
      <w:pPr>
        <w:rPr>
          <w:rFonts w:ascii="Humnst777 BT" w:hAnsi="Humnst777 BT"/>
        </w:rPr>
      </w:pPr>
    </w:p>
    <w:p w14:paraId="34A662E3" w14:textId="77777777" w:rsidR="002B6383" w:rsidRPr="002B6383" w:rsidRDefault="002B6383" w:rsidP="002B6383">
      <w:pPr>
        <w:rPr>
          <w:rFonts w:ascii="Humnst777 BT" w:hAnsi="Humnst777 BT"/>
        </w:rPr>
      </w:pPr>
      <w:r w:rsidRPr="002B6383">
        <w:rPr>
          <w:rFonts w:ascii="Humnst777 BT" w:hAnsi="Humnst777 BT"/>
        </w:rPr>
        <w:t>The current overall objectives of Estates and Facilities are to:</w:t>
      </w:r>
    </w:p>
    <w:p w14:paraId="6E2C70F5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 xml:space="preserve">Support and facilitate the core activities of the University on a 24x7 365 basis. </w:t>
      </w:r>
    </w:p>
    <w:p w14:paraId="39F666AF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Protect the fabric and services of the University’s buildings to maintain their asset value through planned and reactive maintenance.</w:t>
      </w:r>
    </w:p>
    <w:p w14:paraId="3CCE0ED5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Provide a professional and pro-active estate</w:t>
      </w:r>
      <w:r w:rsidR="004312C8">
        <w:rPr>
          <w:rFonts w:ascii="Humnst777 BT" w:hAnsi="Humnst777 BT"/>
        </w:rPr>
        <w:t>-</w:t>
      </w:r>
      <w:r w:rsidRPr="002B6383">
        <w:rPr>
          <w:rFonts w:ascii="Humnst777 BT" w:hAnsi="Humnst777 BT"/>
        </w:rPr>
        <w:t>wide facilities function including cleaning, gardening, security, catering, post room and logistics.</w:t>
      </w:r>
    </w:p>
    <w:p w14:paraId="481BD141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Provide quick and efficient communication with all users.</w:t>
      </w:r>
    </w:p>
    <w:p w14:paraId="6E377637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Actively manage the usage of space throughout the estate.</w:t>
      </w:r>
    </w:p>
    <w:p w14:paraId="60BF0062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Create information systems that monitor performance and costs and improve decision making.</w:t>
      </w:r>
    </w:p>
    <w:p w14:paraId="1A7E98BB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Become involved in the early planning stage of new or updated projects to achieve overall departmental objectives.</w:t>
      </w:r>
    </w:p>
    <w:p w14:paraId="05B5EB58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Regularly review E&amp;F services and seek improvements.</w:t>
      </w:r>
    </w:p>
    <w:p w14:paraId="2F12454B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Benchmark activities and services with other comparable institutions and use HE sector and industry data to set key performance indicators.</w:t>
      </w:r>
    </w:p>
    <w:p w14:paraId="6AF91C2B" w14:textId="77777777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>Provide all necessary environmental and energy management services.</w:t>
      </w:r>
    </w:p>
    <w:p w14:paraId="71BA9A39" w14:textId="5A794275" w:rsidR="002B6383" w:rsidRPr="002B6383" w:rsidRDefault="002B6383" w:rsidP="002B6383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 xml:space="preserve">Provide accommodation that meet </w:t>
      </w:r>
      <w:r w:rsidR="00915909" w:rsidRPr="002B6383">
        <w:rPr>
          <w:rFonts w:ascii="Humnst777 BT" w:hAnsi="Humnst777 BT"/>
        </w:rPr>
        <w:t>students’</w:t>
      </w:r>
      <w:r w:rsidRPr="002B6383">
        <w:rPr>
          <w:rFonts w:ascii="Humnst777 BT" w:hAnsi="Humnst777 BT"/>
        </w:rPr>
        <w:t xml:space="preserve"> needs whilst providing value for money.</w:t>
      </w:r>
    </w:p>
    <w:p w14:paraId="1A1B43BD" w14:textId="7A4A34D7" w:rsidR="002B6383" w:rsidRDefault="002B6383" w:rsidP="00676C6D">
      <w:pPr>
        <w:pStyle w:val="ListParagraph"/>
        <w:numPr>
          <w:ilvl w:val="0"/>
          <w:numId w:val="12"/>
        </w:numPr>
        <w:rPr>
          <w:rFonts w:ascii="Humnst777 BT" w:hAnsi="Humnst777 BT"/>
        </w:rPr>
      </w:pPr>
      <w:r w:rsidRPr="002B6383">
        <w:rPr>
          <w:rFonts w:ascii="Humnst777 BT" w:hAnsi="Humnst777 BT"/>
        </w:rPr>
        <w:t xml:space="preserve">Generating revenue through the provision of conferencing and letting facilities. </w:t>
      </w:r>
    </w:p>
    <w:p w14:paraId="0BDA0366" w14:textId="77777777" w:rsidR="00676C6D" w:rsidRPr="00676C6D" w:rsidRDefault="00676C6D" w:rsidP="00676C6D">
      <w:pPr>
        <w:pStyle w:val="ListParagraph"/>
        <w:rPr>
          <w:rFonts w:ascii="Humnst777 BT" w:hAnsi="Humnst777 BT"/>
        </w:rPr>
      </w:pPr>
    </w:p>
    <w:p w14:paraId="33AD646D" w14:textId="77777777" w:rsidR="00024486" w:rsidRPr="008D6FB1" w:rsidRDefault="00D40FCE" w:rsidP="005F2D2D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>
        <w:rPr>
          <w:rFonts w:ascii="Humnst777 BT" w:hAnsi="Humnst777 BT"/>
          <w:color w:val="auto"/>
        </w:rPr>
        <w:t xml:space="preserve">Summary of services </w:t>
      </w:r>
    </w:p>
    <w:p w14:paraId="1DF27042" w14:textId="77777777" w:rsidR="001A34EA" w:rsidRDefault="001A34EA" w:rsidP="001A34EA">
      <w:pPr>
        <w:spacing w:after="0" w:line="240" w:lineRule="auto"/>
        <w:rPr>
          <w:rFonts w:ascii="Humnst777 BT" w:hAnsi="Humnst777 BT"/>
        </w:rPr>
      </w:pPr>
    </w:p>
    <w:p w14:paraId="09A950D8" w14:textId="5CC679A8" w:rsidR="00676C6D" w:rsidRPr="005F2D2D" w:rsidRDefault="00676C6D" w:rsidP="00676C6D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 xml:space="preserve">&lt;Use this section to set out </w:t>
      </w:r>
      <w:r w:rsidR="00D01DC4" w:rsidRPr="00900907">
        <w:rPr>
          <w:rFonts w:ascii="Humnst777 BT" w:hAnsi="Humnst777 BT"/>
          <w:i/>
          <w:highlight w:val="cyan"/>
        </w:rPr>
        <w:t>a summary of services</w:t>
      </w:r>
      <w:r w:rsidRPr="00900907">
        <w:rPr>
          <w:rFonts w:ascii="Humnst777 BT" w:hAnsi="Humnst777 BT"/>
          <w:i/>
          <w:highlight w:val="cyan"/>
        </w:rPr>
        <w:t xml:space="preserve">. A bullet-point list will suffice. An example from </w:t>
      </w:r>
      <w:r w:rsidR="00D01DC4" w:rsidRPr="00900907">
        <w:rPr>
          <w:rFonts w:ascii="Humnst777 BT" w:hAnsi="Humnst777 BT"/>
          <w:i/>
          <w:highlight w:val="cyan"/>
        </w:rPr>
        <w:t>Finance</w:t>
      </w:r>
      <w:r w:rsidRPr="00900907">
        <w:rPr>
          <w:rFonts w:ascii="Humnst777 BT" w:hAnsi="Humnst777 BT"/>
          <w:i/>
          <w:highlight w:val="cyan"/>
        </w:rPr>
        <w:t xml:space="preserve"> is provided&gt;</w:t>
      </w:r>
    </w:p>
    <w:p w14:paraId="5E6D8BCD" w14:textId="77777777" w:rsidR="001A34EA" w:rsidRPr="008D6FB1" w:rsidRDefault="001A34EA" w:rsidP="001A34EA">
      <w:pPr>
        <w:spacing w:after="0" w:line="240" w:lineRule="auto"/>
        <w:rPr>
          <w:rFonts w:ascii="Humnst777 BT" w:hAnsi="Humnst777 BT"/>
        </w:rPr>
      </w:pPr>
    </w:p>
    <w:p w14:paraId="2B9918F5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Management accounting service</w:t>
      </w:r>
    </w:p>
    <w:p w14:paraId="2B5F2E8B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>S</w:t>
      </w:r>
      <w:r w:rsidRPr="008D6FB1">
        <w:rPr>
          <w:rFonts w:ascii="Humnst777 BT" w:hAnsi="Humnst777 BT"/>
        </w:rPr>
        <w:t>trategic and transactional procurement activity</w:t>
      </w:r>
    </w:p>
    <w:p w14:paraId="7D896588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 xml:space="preserve">Treasury management services </w:t>
      </w:r>
    </w:p>
    <w:p w14:paraId="1B0906D9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Counter services</w:t>
      </w:r>
    </w:p>
    <w:p w14:paraId="445870CC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Statutory reporting</w:t>
      </w:r>
    </w:p>
    <w:p w14:paraId="0FEC2445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Financial management of subsidiary companies</w:t>
      </w:r>
    </w:p>
    <w:p w14:paraId="71381C97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Relationship with internal and external auditors</w:t>
      </w:r>
    </w:p>
    <w:p w14:paraId="10ADCF89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Processing payments to suppliers, students and staff</w:t>
      </w:r>
    </w:p>
    <w:p w14:paraId="76FF65DA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Provision of payroll and pensions services to staff</w:t>
      </w:r>
    </w:p>
    <w:p w14:paraId="3EF3470B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Pricing and tuition fee setting</w:t>
      </w:r>
    </w:p>
    <w:p w14:paraId="15F94BBD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Invoicing arrangements</w:t>
      </w:r>
    </w:p>
    <w:p w14:paraId="17DB43DD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Credit control arrangements</w:t>
      </w:r>
    </w:p>
    <w:p w14:paraId="51C74396" w14:textId="77777777" w:rsidR="00D40FCE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Administration of payments received</w:t>
      </w:r>
    </w:p>
    <w:p w14:paraId="6478A436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Administration of Student Finance / SLC  </w:t>
      </w:r>
    </w:p>
    <w:p w14:paraId="034099D7" w14:textId="77777777" w:rsidR="00D40FCE" w:rsidRPr="008D6FB1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lastRenderedPageBreak/>
        <w:t>Administration of bursary payments</w:t>
      </w:r>
    </w:p>
    <w:p w14:paraId="605A87FF" w14:textId="77777777" w:rsidR="00D40FCE" w:rsidRDefault="00D40FCE" w:rsidP="00D40FCE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Management of the financial arrangements for collaborative partnerships</w:t>
      </w:r>
    </w:p>
    <w:p w14:paraId="303CD04B" w14:textId="157E3C27" w:rsidR="005F2D2D" w:rsidRPr="00676C6D" w:rsidRDefault="00D40FCE" w:rsidP="00EE5A78">
      <w:pPr>
        <w:pStyle w:val="ListParagraph"/>
        <w:numPr>
          <w:ilvl w:val="0"/>
          <w:numId w:val="1"/>
        </w:numPr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Insurance services </w:t>
      </w:r>
      <w:bookmarkStart w:id="0" w:name="_Toc452720287"/>
    </w:p>
    <w:p w14:paraId="280FA789" w14:textId="77777777" w:rsidR="00D40FCE" w:rsidRPr="005F2D2D" w:rsidRDefault="00D40FCE" w:rsidP="005F2D2D">
      <w:pPr>
        <w:spacing w:after="0" w:line="240" w:lineRule="auto"/>
        <w:rPr>
          <w:rFonts w:ascii="Humnst777 BT" w:hAnsi="Humnst777 BT"/>
        </w:rPr>
      </w:pPr>
    </w:p>
    <w:p w14:paraId="7B9B07E2" w14:textId="77777777" w:rsidR="001A34EA" w:rsidRPr="001A34EA" w:rsidRDefault="001A34EA" w:rsidP="005F2D2D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>
        <w:rPr>
          <w:rFonts w:ascii="Humnst777 BT" w:hAnsi="Humnst777 BT"/>
          <w:color w:val="auto"/>
        </w:rPr>
        <w:t>Availability of Service</w:t>
      </w:r>
    </w:p>
    <w:p w14:paraId="058A767F" w14:textId="77777777" w:rsidR="005F2D2D" w:rsidRDefault="005F2D2D" w:rsidP="005F2D2D">
      <w:pPr>
        <w:spacing w:after="0" w:line="240" w:lineRule="auto"/>
        <w:rPr>
          <w:rFonts w:ascii="Humnst777 BT" w:hAnsi="Humnst777 BT"/>
          <w:color w:val="FF0000"/>
        </w:rPr>
      </w:pPr>
    </w:p>
    <w:p w14:paraId="2BF09053" w14:textId="7DDB2FD2" w:rsidR="005F2D2D" w:rsidRPr="005F2D2D" w:rsidRDefault="005F2D2D" w:rsidP="005F2D2D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>&lt;Use this section to set out the</w:t>
      </w:r>
      <w:r w:rsidR="003D1E1D" w:rsidRPr="00900907">
        <w:rPr>
          <w:rFonts w:ascii="Humnst777 BT" w:hAnsi="Humnst777 BT"/>
          <w:i/>
          <w:highlight w:val="cyan"/>
        </w:rPr>
        <w:t xml:space="preserve"> service’s</w:t>
      </w:r>
      <w:r w:rsidRPr="00900907">
        <w:rPr>
          <w:rFonts w:ascii="Humnst777 BT" w:hAnsi="Humnst777 BT"/>
          <w:i/>
          <w:highlight w:val="cyan"/>
        </w:rPr>
        <w:t xml:space="preserve"> opening hours. You may wish to use a tab</w:t>
      </w:r>
      <w:r w:rsidR="004312C8" w:rsidRPr="00900907">
        <w:rPr>
          <w:rFonts w:ascii="Humnst777 BT" w:hAnsi="Humnst777 BT"/>
          <w:i/>
          <w:highlight w:val="cyan"/>
        </w:rPr>
        <w:t>ular</w:t>
      </w:r>
      <w:r w:rsidRPr="00900907">
        <w:rPr>
          <w:rFonts w:ascii="Humnst777 BT" w:hAnsi="Humnst777 BT"/>
          <w:i/>
          <w:highlight w:val="cyan"/>
        </w:rPr>
        <w:t xml:space="preserve"> format&gt;</w:t>
      </w:r>
    </w:p>
    <w:p w14:paraId="1A7F7B4B" w14:textId="77777777" w:rsidR="00681612" w:rsidRDefault="00681612" w:rsidP="00681612">
      <w:pPr>
        <w:pStyle w:val="Heading1"/>
        <w:ind w:left="720"/>
        <w:rPr>
          <w:rFonts w:ascii="Humnst777 BT" w:hAnsi="Humnst777 BT"/>
          <w:color w:val="auto"/>
        </w:rPr>
      </w:pPr>
      <w:bookmarkStart w:id="1" w:name="_GoBack"/>
      <w:bookmarkEnd w:id="1"/>
    </w:p>
    <w:p w14:paraId="3A2DC7B4" w14:textId="45BDB96E" w:rsidR="005F2D2D" w:rsidRDefault="001A34EA" w:rsidP="005F2D2D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>
        <w:rPr>
          <w:rFonts w:ascii="Humnst777 BT" w:hAnsi="Humnst777 BT"/>
          <w:color w:val="auto"/>
        </w:rPr>
        <w:t>Frequency of Service</w:t>
      </w:r>
    </w:p>
    <w:p w14:paraId="09530A87" w14:textId="77777777" w:rsidR="005F2D2D" w:rsidRPr="005F2D2D" w:rsidRDefault="005F2D2D" w:rsidP="005F2D2D">
      <w:pPr>
        <w:spacing w:after="0" w:line="240" w:lineRule="auto"/>
      </w:pPr>
    </w:p>
    <w:p w14:paraId="51C7911E" w14:textId="190FF8F3" w:rsidR="005F2D2D" w:rsidRDefault="005F2D2D" w:rsidP="005F2D2D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 xml:space="preserve">&lt;Use this section to set out the frequency of services e.g. you can expect your carpet to be hoovered once per week; you can expect to receive a monthly </w:t>
      </w:r>
      <w:r w:rsidR="003D1E1D" w:rsidRPr="00900907">
        <w:rPr>
          <w:rFonts w:ascii="Humnst777 BT" w:hAnsi="Humnst777 BT"/>
          <w:i/>
          <w:highlight w:val="cyan"/>
        </w:rPr>
        <w:t xml:space="preserve">progress </w:t>
      </w:r>
      <w:r w:rsidRPr="00900907">
        <w:rPr>
          <w:rFonts w:ascii="Humnst777 BT" w:hAnsi="Humnst777 BT"/>
          <w:i/>
          <w:highlight w:val="cyan"/>
        </w:rPr>
        <w:t>report on external examiner nomination</w:t>
      </w:r>
      <w:r w:rsidR="00D01DC4" w:rsidRPr="00900907">
        <w:rPr>
          <w:rFonts w:ascii="Humnst777 BT" w:hAnsi="Humnst777 BT"/>
          <w:i/>
          <w:highlight w:val="cyan"/>
        </w:rPr>
        <w:t>s</w:t>
      </w:r>
      <w:r w:rsidRPr="00900907">
        <w:rPr>
          <w:rFonts w:ascii="Humnst777 BT" w:hAnsi="Humnst777 BT"/>
          <w:i/>
          <w:highlight w:val="cyan"/>
        </w:rPr>
        <w:t>&gt;</w:t>
      </w:r>
    </w:p>
    <w:p w14:paraId="70170EF3" w14:textId="77777777" w:rsidR="004312C8" w:rsidRPr="005F2D2D" w:rsidRDefault="004312C8" w:rsidP="005F2D2D">
      <w:pPr>
        <w:spacing w:after="0" w:line="240" w:lineRule="auto"/>
        <w:rPr>
          <w:rFonts w:ascii="Humnst777 BT" w:hAnsi="Humnst777 BT"/>
          <w:i/>
        </w:rPr>
      </w:pPr>
    </w:p>
    <w:p w14:paraId="4BFC77E5" w14:textId="73602B6E" w:rsidR="001A34EA" w:rsidRDefault="001A34EA" w:rsidP="005F2D2D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 w:rsidRPr="001A34EA">
        <w:rPr>
          <w:rFonts w:ascii="Humnst777 BT" w:hAnsi="Humnst777 BT"/>
          <w:color w:val="auto"/>
        </w:rPr>
        <w:t>Quality</w:t>
      </w:r>
      <w:r w:rsidR="00993CEF">
        <w:rPr>
          <w:rFonts w:ascii="Humnst777 BT" w:hAnsi="Humnst777 BT"/>
          <w:color w:val="auto"/>
        </w:rPr>
        <w:t xml:space="preserve"> Monitoring</w:t>
      </w:r>
    </w:p>
    <w:p w14:paraId="2F90691B" w14:textId="77777777" w:rsidR="005F2D2D" w:rsidRPr="005F2D2D" w:rsidRDefault="005F2D2D" w:rsidP="005F2D2D">
      <w:pPr>
        <w:spacing w:after="0" w:line="240" w:lineRule="auto"/>
      </w:pPr>
    </w:p>
    <w:p w14:paraId="521CED46" w14:textId="2249858C" w:rsidR="001A34EA" w:rsidRPr="005F2D2D" w:rsidRDefault="005F2D2D" w:rsidP="005F2D2D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 xml:space="preserve">&lt;Use this section to set out </w:t>
      </w:r>
      <w:r w:rsidR="00993CEF" w:rsidRPr="00900907">
        <w:rPr>
          <w:rFonts w:ascii="Humnst777 BT" w:hAnsi="Humnst777 BT"/>
          <w:i/>
          <w:highlight w:val="cyan"/>
        </w:rPr>
        <w:t>data</w:t>
      </w:r>
      <w:r w:rsidR="00C86A93">
        <w:rPr>
          <w:rFonts w:ascii="Humnst777 BT" w:hAnsi="Humnst777 BT"/>
          <w:i/>
          <w:highlight w:val="cyan"/>
        </w:rPr>
        <w:t xml:space="preserve"> or measures</w:t>
      </w:r>
      <w:r w:rsidR="00993CEF" w:rsidRPr="00900907">
        <w:rPr>
          <w:rFonts w:ascii="Humnst777 BT" w:hAnsi="Humnst777 BT"/>
          <w:i/>
          <w:highlight w:val="cyan"/>
        </w:rPr>
        <w:t xml:space="preserve"> </w:t>
      </w:r>
      <w:r w:rsidR="00C86A93">
        <w:rPr>
          <w:rFonts w:ascii="Humnst777 BT" w:hAnsi="Humnst777 BT"/>
          <w:i/>
          <w:highlight w:val="cyan"/>
        </w:rPr>
        <w:t>used by the department to monitor</w:t>
      </w:r>
      <w:r w:rsidR="00993CEF" w:rsidRPr="00900907">
        <w:rPr>
          <w:rFonts w:ascii="Humnst777 BT" w:hAnsi="Humnst777 BT"/>
          <w:i/>
          <w:highlight w:val="cyan"/>
        </w:rPr>
        <w:t xml:space="preserve"> service delivery, e.g. </w:t>
      </w:r>
      <w:r w:rsidR="00C86A93" w:rsidRPr="00900907">
        <w:rPr>
          <w:rFonts w:ascii="Humnst777 BT" w:hAnsi="Humnst777 BT"/>
          <w:i/>
          <w:highlight w:val="cyan"/>
        </w:rPr>
        <w:t>student or customer feedback / survey results</w:t>
      </w:r>
      <w:r w:rsidR="00C86A93">
        <w:rPr>
          <w:rFonts w:ascii="Humnst777 BT" w:hAnsi="Humnst777 BT"/>
          <w:i/>
          <w:highlight w:val="cyan"/>
        </w:rPr>
        <w:t xml:space="preserve"> / </w:t>
      </w:r>
      <w:r w:rsidR="001A34EA" w:rsidRPr="00900907">
        <w:rPr>
          <w:rFonts w:ascii="Humnst777 BT" w:hAnsi="Humnst777 BT"/>
          <w:i/>
          <w:highlight w:val="cyan"/>
        </w:rPr>
        <w:t>statistic</w:t>
      </w:r>
      <w:r w:rsidR="00C86A93">
        <w:rPr>
          <w:rFonts w:ascii="Humnst777 BT" w:hAnsi="Humnst777 BT"/>
          <w:i/>
          <w:highlight w:val="cyan"/>
        </w:rPr>
        <w:t>al</w:t>
      </w:r>
      <w:r w:rsidR="00993CEF" w:rsidRPr="00900907">
        <w:rPr>
          <w:rFonts w:ascii="Humnst777 BT" w:hAnsi="Humnst777 BT"/>
          <w:i/>
          <w:highlight w:val="cyan"/>
        </w:rPr>
        <w:t xml:space="preserve"> </w:t>
      </w:r>
      <w:r w:rsidR="001A34EA" w:rsidRPr="00900907">
        <w:rPr>
          <w:rFonts w:ascii="Humnst777 BT" w:hAnsi="Humnst777 BT"/>
          <w:i/>
          <w:highlight w:val="cyan"/>
        </w:rPr>
        <w:t>measures</w:t>
      </w:r>
      <w:r w:rsidR="00993CEF" w:rsidRPr="00900907">
        <w:rPr>
          <w:rFonts w:ascii="Humnst777 BT" w:hAnsi="Humnst777 BT"/>
          <w:i/>
          <w:highlight w:val="cyan"/>
        </w:rPr>
        <w:t xml:space="preserve"> </w:t>
      </w:r>
      <w:r w:rsidR="00C86A93">
        <w:rPr>
          <w:rFonts w:ascii="Humnst777 BT" w:hAnsi="Humnst777 BT"/>
          <w:i/>
          <w:highlight w:val="cyan"/>
        </w:rPr>
        <w:t>/</w:t>
      </w:r>
      <w:r w:rsidR="001A34EA" w:rsidRPr="00900907">
        <w:rPr>
          <w:rFonts w:ascii="Humnst777 BT" w:hAnsi="Humnst777 BT"/>
          <w:i/>
          <w:highlight w:val="cyan"/>
        </w:rPr>
        <w:t xml:space="preserve"> annual audit</w:t>
      </w:r>
      <w:r w:rsidR="00C86A93">
        <w:rPr>
          <w:rFonts w:ascii="Humnst777 BT" w:hAnsi="Humnst777 BT"/>
          <w:i/>
          <w:highlight w:val="cyan"/>
        </w:rPr>
        <w:t>s / external accreditation&gt;</w:t>
      </w:r>
    </w:p>
    <w:p w14:paraId="3AC786AC" w14:textId="77777777" w:rsidR="001A34EA" w:rsidRDefault="001A34EA" w:rsidP="001A34EA"/>
    <w:p w14:paraId="13865213" w14:textId="77777777" w:rsidR="001A34EA" w:rsidRDefault="005F2D2D" w:rsidP="005F2D2D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>
        <w:rPr>
          <w:rFonts w:ascii="Humnst777 BT" w:hAnsi="Humnst777 BT"/>
          <w:color w:val="auto"/>
        </w:rPr>
        <w:t>Exclusions</w:t>
      </w:r>
    </w:p>
    <w:p w14:paraId="2307515C" w14:textId="77777777" w:rsidR="005F2D2D" w:rsidRPr="005F2D2D" w:rsidRDefault="005F2D2D" w:rsidP="005F2D2D">
      <w:pPr>
        <w:spacing w:after="0" w:line="240" w:lineRule="auto"/>
      </w:pPr>
    </w:p>
    <w:p w14:paraId="6AC90193" w14:textId="77777777" w:rsidR="005F2D2D" w:rsidRPr="005F2D2D" w:rsidRDefault="005F2D2D" w:rsidP="005F2D2D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 xml:space="preserve">&lt;Use this section to set out what customers should </w:t>
      </w:r>
      <w:r w:rsidRPr="00900907">
        <w:rPr>
          <w:rFonts w:ascii="Humnst777 BT" w:hAnsi="Humnst777 BT"/>
          <w:b/>
          <w:i/>
          <w:highlight w:val="cyan"/>
        </w:rPr>
        <w:t>not</w:t>
      </w:r>
      <w:r w:rsidRPr="00900907">
        <w:rPr>
          <w:rFonts w:ascii="Humnst777 BT" w:hAnsi="Humnst777 BT"/>
          <w:i/>
          <w:highlight w:val="cyan"/>
        </w:rPr>
        <w:t xml:space="preserve"> expect from your service, e.g. the department is not responsible for the payment of sessional staff&gt;</w:t>
      </w:r>
    </w:p>
    <w:p w14:paraId="3C4E455C" w14:textId="77777777" w:rsidR="001A34EA" w:rsidRPr="001A34EA" w:rsidRDefault="001A34EA" w:rsidP="001A34EA"/>
    <w:p w14:paraId="21C7B610" w14:textId="77777777" w:rsidR="00024486" w:rsidRPr="008D6FB1" w:rsidRDefault="00024486" w:rsidP="005F2D2D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 w:rsidRPr="008D6FB1">
        <w:rPr>
          <w:rFonts w:ascii="Humnst777 BT" w:hAnsi="Humnst777 BT"/>
          <w:color w:val="auto"/>
        </w:rPr>
        <w:t>Our Responsibilities</w:t>
      </w:r>
      <w:bookmarkEnd w:id="0"/>
    </w:p>
    <w:p w14:paraId="05A03CE9" w14:textId="77777777" w:rsidR="0009204D" w:rsidRPr="008D6FB1" w:rsidRDefault="0009204D" w:rsidP="008D6FB1">
      <w:pPr>
        <w:spacing w:after="0" w:line="240" w:lineRule="auto"/>
        <w:rPr>
          <w:rFonts w:ascii="Humnst777 BT" w:hAnsi="Humnst777 BT"/>
        </w:rPr>
      </w:pPr>
    </w:p>
    <w:p w14:paraId="6F4D79DA" w14:textId="14CE444B" w:rsidR="00EE5A78" w:rsidRPr="005F2D2D" w:rsidRDefault="00EE5A78" w:rsidP="00EE5A78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>&lt;Use this section to state ho</w:t>
      </w:r>
      <w:r w:rsidR="002B6383" w:rsidRPr="00900907">
        <w:rPr>
          <w:rFonts w:ascii="Humnst777 BT" w:hAnsi="Humnst777 BT"/>
          <w:i/>
          <w:highlight w:val="cyan"/>
        </w:rPr>
        <w:t>w the responsibilities of your service will be discharged. An example from Finance is provided&gt;</w:t>
      </w:r>
    </w:p>
    <w:p w14:paraId="0A489DC7" w14:textId="77777777" w:rsidR="00EE5A78" w:rsidRDefault="00EE5A78" w:rsidP="008D6FB1">
      <w:pPr>
        <w:spacing w:after="0" w:line="240" w:lineRule="auto"/>
        <w:rPr>
          <w:rFonts w:ascii="Humnst777 BT" w:hAnsi="Humnst777 BT"/>
        </w:rPr>
      </w:pPr>
    </w:p>
    <w:p w14:paraId="1ED99F41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The Finance Department will provide the services and support as defined in this document, including:</w:t>
      </w:r>
    </w:p>
    <w:p w14:paraId="1DBF50CA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4F8B167F" w14:textId="77777777" w:rsidR="00024486" w:rsidRPr="008D6FB1" w:rsidRDefault="00024486" w:rsidP="008D6FB1">
      <w:pPr>
        <w:pStyle w:val="ListParagraph"/>
        <w:numPr>
          <w:ilvl w:val="0"/>
          <w:numId w:val="3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Dealing with your requests in a consistent and fair manner.</w:t>
      </w:r>
    </w:p>
    <w:p w14:paraId="25EADA0F" w14:textId="77777777" w:rsidR="00024486" w:rsidRPr="008D6FB1" w:rsidRDefault="00024486" w:rsidP="008D6FB1">
      <w:pPr>
        <w:pStyle w:val="ListParagraph"/>
        <w:numPr>
          <w:ilvl w:val="0"/>
          <w:numId w:val="3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Communicating honestly and openly with you about the progress of your requests.</w:t>
      </w:r>
    </w:p>
    <w:p w14:paraId="3DBC35B6" w14:textId="77777777" w:rsidR="00024486" w:rsidRPr="008D6FB1" w:rsidRDefault="00024486" w:rsidP="008D6FB1">
      <w:pPr>
        <w:pStyle w:val="ListParagraph"/>
        <w:numPr>
          <w:ilvl w:val="0"/>
          <w:numId w:val="3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Ensur</w:t>
      </w:r>
      <w:r w:rsidR="00F07020" w:rsidRPr="008D6FB1">
        <w:rPr>
          <w:rFonts w:ascii="Humnst777 BT" w:hAnsi="Humnst777 BT"/>
        </w:rPr>
        <w:t>ing</w:t>
      </w:r>
      <w:r w:rsidRPr="008D6FB1">
        <w:rPr>
          <w:rFonts w:ascii="Humnst777 BT" w:hAnsi="Humnst777 BT"/>
        </w:rPr>
        <w:t xml:space="preserve"> compliance with legal and statutory requirements</w:t>
      </w:r>
    </w:p>
    <w:p w14:paraId="78654CCC" w14:textId="77777777" w:rsidR="008768A8" w:rsidRDefault="008768A8" w:rsidP="008D6FB1">
      <w:pPr>
        <w:pStyle w:val="ListParagraph"/>
        <w:numPr>
          <w:ilvl w:val="0"/>
          <w:numId w:val="3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Professional advice on adhering to the framework of financial control</w:t>
      </w:r>
    </w:p>
    <w:p w14:paraId="61402B76" w14:textId="77777777" w:rsidR="002B7720" w:rsidRPr="008D6FB1" w:rsidRDefault="002B7720" w:rsidP="008D6FB1">
      <w:pPr>
        <w:pStyle w:val="ListParagraph"/>
        <w:numPr>
          <w:ilvl w:val="0"/>
          <w:numId w:val="3"/>
        </w:numPr>
        <w:spacing w:after="0" w:line="240" w:lineRule="auto"/>
        <w:rPr>
          <w:rFonts w:ascii="Humnst777 BT" w:hAnsi="Humnst777 BT"/>
        </w:rPr>
      </w:pPr>
      <w:r>
        <w:rPr>
          <w:rFonts w:ascii="Humnst777 BT" w:hAnsi="Humnst777 BT"/>
        </w:rPr>
        <w:t xml:space="preserve">Provision of Financial regulations and procedures </w:t>
      </w:r>
    </w:p>
    <w:p w14:paraId="75D049B8" w14:textId="77777777" w:rsidR="00024486" w:rsidRPr="008D6FB1" w:rsidRDefault="00024486" w:rsidP="008D6FB1">
      <w:pPr>
        <w:spacing w:after="0" w:line="240" w:lineRule="auto"/>
        <w:ind w:left="360"/>
        <w:rPr>
          <w:rFonts w:ascii="Humnst777 BT" w:hAnsi="Humnst777 BT"/>
        </w:rPr>
      </w:pPr>
    </w:p>
    <w:p w14:paraId="52A921B6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3D7F2559" w14:textId="77777777" w:rsidR="00024486" w:rsidRPr="008D6FB1" w:rsidRDefault="00024486" w:rsidP="00EE5A78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bookmarkStart w:id="2" w:name="_Toc452720288"/>
      <w:r w:rsidRPr="008D6FB1">
        <w:rPr>
          <w:rFonts w:ascii="Humnst777 BT" w:hAnsi="Humnst777 BT"/>
          <w:color w:val="auto"/>
        </w:rPr>
        <w:t>Your Obligations</w:t>
      </w:r>
      <w:bookmarkEnd w:id="2"/>
    </w:p>
    <w:p w14:paraId="51C8A631" w14:textId="77777777" w:rsidR="008D6FB1" w:rsidRPr="008D6FB1" w:rsidRDefault="008D6FB1" w:rsidP="008D6FB1">
      <w:pPr>
        <w:spacing w:after="0" w:line="240" w:lineRule="auto"/>
        <w:rPr>
          <w:rFonts w:ascii="Humnst777 BT" w:hAnsi="Humnst777 BT"/>
        </w:rPr>
      </w:pPr>
    </w:p>
    <w:p w14:paraId="199C7DFE" w14:textId="481EB132" w:rsidR="00EE5A78" w:rsidRPr="005F2D2D" w:rsidRDefault="00EE5A78" w:rsidP="00EE5A78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>&lt;Use this section to state what you expect from your customers and/or stakeholders in order for the service to be delivered. An example from Finance has been provided&gt;</w:t>
      </w:r>
    </w:p>
    <w:p w14:paraId="239A4B19" w14:textId="77777777" w:rsidR="00EE5A78" w:rsidRDefault="00EE5A78" w:rsidP="008D6FB1">
      <w:pPr>
        <w:spacing w:after="0" w:line="240" w:lineRule="auto"/>
        <w:rPr>
          <w:rFonts w:ascii="Humnst777 BT" w:hAnsi="Humnst777 BT"/>
        </w:rPr>
      </w:pPr>
    </w:p>
    <w:p w14:paraId="713FBF0B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lastRenderedPageBreak/>
        <w:t xml:space="preserve">To ensure the Finance Department can deliver an efficient and effective service it is important that our internal customers comply with a number of obligations. These </w:t>
      </w:r>
      <w:r w:rsidR="00F07020" w:rsidRPr="008D6FB1">
        <w:rPr>
          <w:rFonts w:ascii="Humnst777 BT" w:hAnsi="Humnst777 BT"/>
        </w:rPr>
        <w:t>include</w:t>
      </w:r>
      <w:r w:rsidRPr="008D6FB1">
        <w:rPr>
          <w:rFonts w:ascii="Humnst777 BT" w:hAnsi="Humnst777 BT"/>
        </w:rPr>
        <w:t>:</w:t>
      </w:r>
    </w:p>
    <w:p w14:paraId="3590F558" w14:textId="77777777" w:rsidR="00024486" w:rsidRPr="008D6FB1" w:rsidRDefault="00024486" w:rsidP="008D6FB1">
      <w:pPr>
        <w:spacing w:after="0" w:line="240" w:lineRule="auto"/>
        <w:rPr>
          <w:rFonts w:ascii="Humnst777 BT" w:hAnsi="Humnst777 BT"/>
        </w:rPr>
      </w:pPr>
    </w:p>
    <w:p w14:paraId="1520FDA0" w14:textId="77777777" w:rsidR="00024486" w:rsidRPr="008D6FB1" w:rsidRDefault="00F07020" w:rsidP="008D6FB1">
      <w:pPr>
        <w:pStyle w:val="ListParagraph"/>
        <w:numPr>
          <w:ilvl w:val="0"/>
          <w:numId w:val="4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Providing</w:t>
      </w:r>
      <w:r w:rsidR="00024486" w:rsidRPr="008D6FB1">
        <w:rPr>
          <w:rFonts w:ascii="Humnst777 BT" w:hAnsi="Humnst777 BT"/>
        </w:rPr>
        <w:t xml:space="preserve"> the department with timely and good quality information to facilitate effi</w:t>
      </w:r>
      <w:r w:rsidR="001771C5" w:rsidRPr="008D6FB1">
        <w:rPr>
          <w:rFonts w:ascii="Humnst777 BT" w:hAnsi="Humnst777 BT"/>
        </w:rPr>
        <w:t>cient responses to your request</w:t>
      </w:r>
      <w:r w:rsidR="00024486" w:rsidRPr="008D6FB1">
        <w:rPr>
          <w:rFonts w:ascii="Humnst777 BT" w:hAnsi="Humnst777 BT"/>
        </w:rPr>
        <w:t>s for support</w:t>
      </w:r>
    </w:p>
    <w:p w14:paraId="2DAE8FA2" w14:textId="77777777" w:rsidR="00024486" w:rsidRPr="008D6FB1" w:rsidRDefault="00024486" w:rsidP="008D6FB1">
      <w:pPr>
        <w:pStyle w:val="ListParagraph"/>
        <w:numPr>
          <w:ilvl w:val="0"/>
          <w:numId w:val="4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Comply</w:t>
      </w:r>
      <w:r w:rsidR="00F07020" w:rsidRPr="008D6FB1">
        <w:rPr>
          <w:rFonts w:ascii="Humnst777 BT" w:hAnsi="Humnst777 BT"/>
        </w:rPr>
        <w:t>ing</w:t>
      </w:r>
      <w:r w:rsidRPr="008D6FB1">
        <w:rPr>
          <w:rFonts w:ascii="Humnst777 BT" w:hAnsi="Humnst777 BT"/>
        </w:rPr>
        <w:t xml:space="preserve"> with </w:t>
      </w:r>
      <w:r w:rsidR="001771C5" w:rsidRPr="008D6FB1">
        <w:rPr>
          <w:rFonts w:ascii="Humnst777 BT" w:hAnsi="Humnst777 BT"/>
        </w:rPr>
        <w:t xml:space="preserve">the </w:t>
      </w:r>
      <w:r w:rsidRPr="008D6FB1">
        <w:rPr>
          <w:rFonts w:ascii="Humnst777 BT" w:hAnsi="Humnst777 BT"/>
        </w:rPr>
        <w:t>University’s financial procedures and regulations as published on the Finance website</w:t>
      </w:r>
    </w:p>
    <w:p w14:paraId="1CC90FA6" w14:textId="77777777" w:rsidR="00024486" w:rsidRPr="008D6FB1" w:rsidRDefault="00F07020" w:rsidP="008D6FB1">
      <w:pPr>
        <w:pStyle w:val="ListParagraph"/>
        <w:numPr>
          <w:ilvl w:val="0"/>
          <w:numId w:val="4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Engaging</w:t>
      </w:r>
      <w:r w:rsidR="00024486" w:rsidRPr="008D6FB1">
        <w:rPr>
          <w:rFonts w:ascii="Humnst777 BT" w:hAnsi="Humnst777 BT"/>
        </w:rPr>
        <w:t xml:space="preserve"> with </w:t>
      </w:r>
      <w:r w:rsidRPr="008D6FB1">
        <w:rPr>
          <w:rFonts w:ascii="Humnst777 BT" w:hAnsi="Humnst777 BT"/>
        </w:rPr>
        <w:t xml:space="preserve">the </w:t>
      </w:r>
      <w:r w:rsidR="00024486" w:rsidRPr="008D6FB1">
        <w:rPr>
          <w:rFonts w:ascii="Humnst777 BT" w:hAnsi="Humnst777 BT"/>
        </w:rPr>
        <w:t>Finance</w:t>
      </w:r>
      <w:r w:rsidRPr="008D6FB1">
        <w:rPr>
          <w:rFonts w:ascii="Humnst777 BT" w:hAnsi="Humnst777 BT"/>
        </w:rPr>
        <w:t xml:space="preserve"> Department</w:t>
      </w:r>
      <w:r w:rsidR="00024486" w:rsidRPr="008D6FB1">
        <w:rPr>
          <w:rFonts w:ascii="Humnst777 BT" w:hAnsi="Humnst777 BT"/>
        </w:rPr>
        <w:t xml:space="preserve"> at the earliest possible stage if support is required for large projects (e.g. a large procurement project or changing procedures which impact on financial processes)</w:t>
      </w:r>
    </w:p>
    <w:p w14:paraId="686A05F4" w14:textId="77777777" w:rsidR="00024486" w:rsidRPr="008D6FB1" w:rsidRDefault="00F07020" w:rsidP="008D6FB1">
      <w:pPr>
        <w:pStyle w:val="ListParagraph"/>
        <w:numPr>
          <w:ilvl w:val="0"/>
          <w:numId w:val="4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Engaging</w:t>
      </w:r>
      <w:r w:rsidR="00024486" w:rsidRPr="008D6FB1">
        <w:rPr>
          <w:rFonts w:ascii="Humnst777 BT" w:hAnsi="Humnst777 BT"/>
        </w:rPr>
        <w:t xml:space="preserve"> with </w:t>
      </w:r>
      <w:r w:rsidRPr="008D6FB1">
        <w:rPr>
          <w:rFonts w:ascii="Humnst777 BT" w:hAnsi="Humnst777 BT"/>
        </w:rPr>
        <w:t>the Department</w:t>
      </w:r>
      <w:r w:rsidR="00024486" w:rsidRPr="008D6FB1">
        <w:rPr>
          <w:rFonts w:ascii="Humnst777 BT" w:hAnsi="Humnst777 BT"/>
        </w:rPr>
        <w:t xml:space="preserve"> to ensure appropriate recording and coding of financial information and to ensure the accuracy of management information</w:t>
      </w:r>
    </w:p>
    <w:p w14:paraId="467359C0" w14:textId="77777777" w:rsidR="00024486" w:rsidRPr="008D6FB1" w:rsidRDefault="00A11C66" w:rsidP="008D6FB1">
      <w:pPr>
        <w:pStyle w:val="ListParagraph"/>
        <w:numPr>
          <w:ilvl w:val="0"/>
          <w:numId w:val="4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 xml:space="preserve">Appropriate use of the management information and data provided to you </w:t>
      </w:r>
      <w:r w:rsidR="00F07020" w:rsidRPr="008D6FB1">
        <w:rPr>
          <w:rFonts w:ascii="Humnst777 BT" w:hAnsi="Humnst777 BT"/>
        </w:rPr>
        <w:t>by</w:t>
      </w:r>
      <w:r w:rsidRPr="008D6FB1">
        <w:rPr>
          <w:rFonts w:ascii="Humnst777 BT" w:hAnsi="Humnst777 BT"/>
        </w:rPr>
        <w:t xml:space="preserve"> the Department</w:t>
      </w:r>
    </w:p>
    <w:p w14:paraId="5246FB1B" w14:textId="77777777" w:rsidR="008768A8" w:rsidRPr="008D6FB1" w:rsidRDefault="00F07020" w:rsidP="008D6FB1">
      <w:pPr>
        <w:pStyle w:val="ListParagraph"/>
        <w:numPr>
          <w:ilvl w:val="0"/>
          <w:numId w:val="4"/>
        </w:numPr>
        <w:spacing w:after="0" w:line="240" w:lineRule="auto"/>
        <w:rPr>
          <w:rFonts w:ascii="Humnst777 BT" w:hAnsi="Humnst777 BT"/>
        </w:rPr>
      </w:pPr>
      <w:r w:rsidRPr="008D6FB1">
        <w:rPr>
          <w:rFonts w:ascii="Humnst777 BT" w:hAnsi="Humnst777 BT"/>
        </w:rPr>
        <w:t>A</w:t>
      </w:r>
      <w:r w:rsidR="008768A8" w:rsidRPr="008D6FB1">
        <w:rPr>
          <w:rFonts w:ascii="Humnst777 BT" w:hAnsi="Humnst777 BT"/>
        </w:rPr>
        <w:t>dher</w:t>
      </w:r>
      <w:r w:rsidRPr="008D6FB1">
        <w:rPr>
          <w:rFonts w:ascii="Humnst777 BT" w:hAnsi="Humnst777 BT"/>
        </w:rPr>
        <w:t>ing</w:t>
      </w:r>
      <w:r w:rsidR="008768A8" w:rsidRPr="008D6FB1">
        <w:rPr>
          <w:rFonts w:ascii="Humnst777 BT" w:hAnsi="Humnst777 BT"/>
        </w:rPr>
        <w:t xml:space="preserve"> to deadlines for the submission of information.</w:t>
      </w:r>
    </w:p>
    <w:p w14:paraId="081C2B48" w14:textId="77777777" w:rsidR="00024486" w:rsidRPr="008D6FB1" w:rsidRDefault="00024486" w:rsidP="00695835">
      <w:pPr>
        <w:spacing w:after="0" w:line="240" w:lineRule="auto"/>
        <w:rPr>
          <w:rFonts w:ascii="Humnst777 BT" w:hAnsi="Humnst777 BT"/>
        </w:rPr>
      </w:pPr>
    </w:p>
    <w:p w14:paraId="3BB50EEC" w14:textId="202460BB" w:rsidR="00024486" w:rsidRPr="00A52536" w:rsidRDefault="00024486" w:rsidP="00A52536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 w:rsidRPr="00A52536">
        <w:rPr>
          <w:rFonts w:ascii="Humnst777 BT" w:hAnsi="Humnst777 BT"/>
          <w:color w:val="auto"/>
        </w:rPr>
        <w:t xml:space="preserve"> </w:t>
      </w:r>
      <w:r w:rsidR="00A52536" w:rsidRPr="00A52536">
        <w:rPr>
          <w:rFonts w:ascii="Humnst777 BT" w:hAnsi="Humnst777 BT"/>
          <w:color w:val="auto"/>
        </w:rPr>
        <w:t>Stakeholder</w:t>
      </w:r>
      <w:r w:rsidR="00656475">
        <w:rPr>
          <w:rFonts w:ascii="Humnst777 BT" w:hAnsi="Humnst777 BT"/>
          <w:color w:val="auto"/>
        </w:rPr>
        <w:t>s</w:t>
      </w:r>
    </w:p>
    <w:p w14:paraId="3FD80BC1" w14:textId="77777777" w:rsidR="00A52536" w:rsidRDefault="00A52536" w:rsidP="00A52536">
      <w:pPr>
        <w:spacing w:after="0" w:line="240" w:lineRule="auto"/>
        <w:rPr>
          <w:rFonts w:ascii="Humnst777 BT" w:hAnsi="Humnst777 BT"/>
          <w:i/>
          <w:highlight w:val="cyan"/>
        </w:rPr>
      </w:pPr>
    </w:p>
    <w:p w14:paraId="1E96EEEB" w14:textId="0B231648" w:rsidR="00656475" w:rsidRPr="00015D89" w:rsidRDefault="00A52536" w:rsidP="00A52536">
      <w:pPr>
        <w:spacing w:after="0" w:line="240" w:lineRule="auto"/>
        <w:rPr>
          <w:rFonts w:ascii="Humnst777 BT" w:hAnsi="Humnst777 BT"/>
          <w:i/>
          <w:highlight w:val="cyan"/>
        </w:rPr>
      </w:pPr>
      <w:r w:rsidRPr="00A52536">
        <w:rPr>
          <w:rFonts w:ascii="Humnst777 BT" w:hAnsi="Humnst777 BT"/>
          <w:i/>
          <w:highlight w:val="cyan"/>
        </w:rPr>
        <w:t>&lt;Use this section to list the stakeholders for your service. T</w:t>
      </w:r>
      <w:r w:rsidR="00015D89">
        <w:rPr>
          <w:rFonts w:ascii="Humnst777 BT" w:hAnsi="Humnst777 BT"/>
          <w:i/>
          <w:highlight w:val="cyan"/>
        </w:rPr>
        <w:t>his</w:t>
      </w:r>
      <w:r w:rsidR="00695835">
        <w:rPr>
          <w:rFonts w:ascii="Humnst777 BT" w:hAnsi="Humnst777 BT"/>
          <w:i/>
          <w:highlight w:val="cyan"/>
        </w:rPr>
        <w:t xml:space="preserve"> helps to </w:t>
      </w:r>
      <w:r w:rsidR="00656475">
        <w:rPr>
          <w:rFonts w:ascii="Humnst777 BT" w:hAnsi="Humnst777 BT"/>
          <w:i/>
          <w:highlight w:val="cyan"/>
        </w:rPr>
        <w:t>make explicit</w:t>
      </w:r>
      <w:r w:rsidR="00015D89" w:rsidRPr="00015D89">
        <w:rPr>
          <w:rFonts w:ascii="Humnst777 BT" w:hAnsi="Humnst777 BT"/>
          <w:i/>
          <w:highlight w:val="cyan"/>
        </w:rPr>
        <w:t xml:space="preserve"> where</w:t>
      </w:r>
      <w:r w:rsidR="00695835">
        <w:rPr>
          <w:rFonts w:ascii="Humnst777 BT" w:hAnsi="Humnst777 BT"/>
          <w:i/>
          <w:highlight w:val="cyan"/>
        </w:rPr>
        <w:t xml:space="preserve"> the</w:t>
      </w:r>
      <w:r w:rsidR="00015D89" w:rsidRPr="00015D89">
        <w:rPr>
          <w:rFonts w:ascii="Humnst777 BT" w:hAnsi="Humnst777 BT"/>
          <w:i/>
          <w:highlight w:val="cyan"/>
        </w:rPr>
        <w:t xml:space="preserve"> successful delivery of the depart</w:t>
      </w:r>
      <w:r w:rsidR="00695835">
        <w:rPr>
          <w:rFonts w:ascii="Humnst777 BT" w:hAnsi="Humnst777 BT"/>
          <w:i/>
          <w:highlight w:val="cyan"/>
        </w:rPr>
        <w:t>ment’s services is dependent on the provision of work</w:t>
      </w:r>
      <w:r w:rsidR="00015D89" w:rsidRPr="00015D89">
        <w:rPr>
          <w:rFonts w:ascii="Humnst777 BT" w:hAnsi="Humnst777 BT"/>
          <w:i/>
          <w:highlight w:val="cyan"/>
        </w:rPr>
        <w:t xml:space="preserve"> or information </w:t>
      </w:r>
      <w:r w:rsidR="00695835">
        <w:rPr>
          <w:rFonts w:ascii="Humnst777 BT" w:hAnsi="Humnst777 BT"/>
          <w:i/>
          <w:highlight w:val="cyan"/>
        </w:rPr>
        <w:t>by another</w:t>
      </w:r>
      <w:r w:rsidR="00015D89" w:rsidRPr="00015D89">
        <w:rPr>
          <w:rFonts w:ascii="Humnst777 BT" w:hAnsi="Humnst777 BT"/>
          <w:i/>
          <w:highlight w:val="cyan"/>
        </w:rPr>
        <w:t xml:space="preserve"> department or area</w:t>
      </w:r>
      <w:r w:rsidRPr="00A52536">
        <w:rPr>
          <w:rFonts w:ascii="Humnst777 BT" w:hAnsi="Humnst777 BT"/>
          <w:i/>
          <w:highlight w:val="cyan"/>
        </w:rPr>
        <w:t>, e.g.</w:t>
      </w:r>
      <w:r w:rsidR="00695835">
        <w:rPr>
          <w:rFonts w:ascii="Humnst777 BT" w:hAnsi="Humnst777 BT"/>
          <w:i/>
          <w:highlight w:val="cyan"/>
        </w:rPr>
        <w:t xml:space="preserve"> </w:t>
      </w:r>
      <w:proofErr w:type="gramStart"/>
      <w:r w:rsidR="00695835">
        <w:rPr>
          <w:rFonts w:ascii="Humnst777 BT" w:hAnsi="Humnst777 BT"/>
          <w:i/>
          <w:highlight w:val="cyan"/>
        </w:rPr>
        <w:t>the</w:t>
      </w:r>
      <w:r w:rsidRPr="00A52536">
        <w:rPr>
          <w:rFonts w:ascii="Humnst777 BT" w:hAnsi="Humnst777 BT"/>
          <w:i/>
          <w:highlight w:val="cyan"/>
        </w:rPr>
        <w:t xml:space="preserve"> </w:t>
      </w:r>
      <w:proofErr w:type="spellStart"/>
      <w:r w:rsidRPr="00A52536">
        <w:rPr>
          <w:rFonts w:ascii="Humnst777 BT" w:hAnsi="Humnst777 BT"/>
          <w:i/>
          <w:highlight w:val="cyan"/>
        </w:rPr>
        <w:t>i</w:t>
      </w:r>
      <w:proofErr w:type="spellEnd"/>
      <w:proofErr w:type="gramEnd"/>
      <w:r w:rsidRPr="00A52536">
        <w:rPr>
          <w:rFonts w:ascii="Humnst777 BT" w:hAnsi="Humnst777 BT"/>
          <w:i/>
          <w:highlight w:val="cyan"/>
        </w:rPr>
        <w:t xml:space="preserve">-zone cannot close student enquiries without information provided by registry, academic schools, </w:t>
      </w:r>
      <w:proofErr w:type="spellStart"/>
      <w:r w:rsidRPr="00A52536">
        <w:rPr>
          <w:rFonts w:ascii="Humnst777 BT" w:hAnsi="Humnst777 BT"/>
          <w:i/>
          <w:highlight w:val="cyan"/>
        </w:rPr>
        <w:t>etc</w:t>
      </w:r>
      <w:proofErr w:type="spellEnd"/>
      <w:r w:rsidRPr="00A52536">
        <w:rPr>
          <w:rFonts w:ascii="Humnst777 BT" w:hAnsi="Humnst777 BT"/>
          <w:i/>
          <w:highlight w:val="cyan"/>
        </w:rPr>
        <w:t>)</w:t>
      </w:r>
    </w:p>
    <w:p w14:paraId="50398D5F" w14:textId="77777777" w:rsidR="00A52536" w:rsidRPr="008D6FB1" w:rsidRDefault="00A52536" w:rsidP="008D6FB1">
      <w:pPr>
        <w:spacing w:after="0" w:line="240" w:lineRule="auto"/>
        <w:rPr>
          <w:rFonts w:ascii="Humnst777 BT" w:hAnsi="Humnst777 BT"/>
        </w:rPr>
      </w:pPr>
    </w:p>
    <w:p w14:paraId="2C0A3C31" w14:textId="77777777" w:rsidR="00EE5A78" w:rsidRPr="00EE5A78" w:rsidRDefault="00EE5A78" w:rsidP="00EE5A78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 w:rsidRPr="00EE5A78">
        <w:rPr>
          <w:rFonts w:ascii="Humnst777 BT" w:hAnsi="Humnst777 BT"/>
          <w:color w:val="auto"/>
        </w:rPr>
        <w:t>Contact details</w:t>
      </w:r>
    </w:p>
    <w:p w14:paraId="1FB3F015" w14:textId="77777777" w:rsidR="00EE5A78" w:rsidRDefault="00EE5A78" w:rsidP="00EE5A78">
      <w:pPr>
        <w:pStyle w:val="Heading1"/>
        <w:rPr>
          <w:rFonts w:ascii="Humnst777 BT" w:hAnsi="Humnst777 BT"/>
        </w:rPr>
      </w:pPr>
    </w:p>
    <w:p w14:paraId="550E05A8" w14:textId="77777777" w:rsidR="00EE5A78" w:rsidRPr="005F2D2D" w:rsidRDefault="00EE5A78" w:rsidP="00EE5A78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>&lt;Use this section to share your service contact details, such as generic e-mail address, telephone number, FAQs</w:t>
      </w:r>
      <w:r w:rsidR="004312C8" w:rsidRPr="00900907">
        <w:rPr>
          <w:rFonts w:ascii="Humnst777 BT" w:hAnsi="Humnst777 BT"/>
          <w:i/>
          <w:highlight w:val="cyan"/>
        </w:rPr>
        <w:t xml:space="preserve"> page on service’s website</w:t>
      </w:r>
      <w:r w:rsidRPr="00900907">
        <w:rPr>
          <w:rFonts w:ascii="Humnst777 BT" w:hAnsi="Humnst777 BT"/>
          <w:i/>
          <w:highlight w:val="cyan"/>
        </w:rPr>
        <w:t xml:space="preserve"> </w:t>
      </w:r>
      <w:proofErr w:type="spellStart"/>
      <w:r w:rsidRPr="00900907">
        <w:rPr>
          <w:rFonts w:ascii="Humnst777 BT" w:hAnsi="Humnst777 BT"/>
          <w:i/>
          <w:highlight w:val="cyan"/>
        </w:rPr>
        <w:t>etc</w:t>
      </w:r>
      <w:proofErr w:type="spellEnd"/>
      <w:r w:rsidRPr="00900907">
        <w:rPr>
          <w:rFonts w:ascii="Humnst777 BT" w:hAnsi="Humnst777 BT"/>
          <w:i/>
          <w:highlight w:val="cyan"/>
        </w:rPr>
        <w:t>&gt;</w:t>
      </w:r>
    </w:p>
    <w:p w14:paraId="15FBE86F" w14:textId="77777777" w:rsidR="004312C8" w:rsidRDefault="004312C8" w:rsidP="00EE5A78">
      <w:pPr>
        <w:spacing w:after="0" w:line="240" w:lineRule="auto"/>
        <w:rPr>
          <w:rFonts w:ascii="Humnst777 BT" w:hAnsi="Humnst777 BT"/>
        </w:rPr>
      </w:pPr>
    </w:p>
    <w:p w14:paraId="7C109B19" w14:textId="77777777" w:rsidR="00EE5A78" w:rsidRPr="00EE5A78" w:rsidRDefault="00EE5A78" w:rsidP="00EE5A78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 w:rsidRPr="00EE5A78">
        <w:rPr>
          <w:rFonts w:ascii="Humnst777 BT" w:hAnsi="Humnst777 BT"/>
          <w:color w:val="auto"/>
        </w:rPr>
        <w:t>Communication with service users</w:t>
      </w:r>
    </w:p>
    <w:p w14:paraId="241B17CD" w14:textId="77777777" w:rsidR="00EE5A78" w:rsidRDefault="00EE5A78" w:rsidP="00EE5A78">
      <w:pPr>
        <w:pStyle w:val="Heading1"/>
      </w:pPr>
    </w:p>
    <w:p w14:paraId="3E6CE7EB" w14:textId="5C80B958" w:rsidR="00EE5A78" w:rsidRDefault="00EE5A78" w:rsidP="00817FF0">
      <w:pPr>
        <w:spacing w:after="0" w:line="240" w:lineRule="auto"/>
        <w:rPr>
          <w:rFonts w:ascii="Humnst777 BT" w:hAnsi="Humnst777 BT"/>
          <w:i/>
        </w:rPr>
      </w:pPr>
      <w:r w:rsidRPr="00900907">
        <w:rPr>
          <w:rFonts w:ascii="Humnst777 BT" w:hAnsi="Humnst777 BT"/>
          <w:i/>
          <w:highlight w:val="cyan"/>
        </w:rPr>
        <w:t xml:space="preserve">&lt;Use this section to set out how your service users can expect to be contacted, e.g. we will respond to e-mail requests within 3 days of receipt; we will respond to </w:t>
      </w:r>
      <w:r w:rsidR="00817FF0" w:rsidRPr="00900907">
        <w:rPr>
          <w:rFonts w:ascii="Humnst777 BT" w:hAnsi="Humnst777 BT"/>
          <w:i/>
          <w:highlight w:val="cyan"/>
        </w:rPr>
        <w:t>routine requests for</w:t>
      </w:r>
      <w:r w:rsidRPr="00900907">
        <w:rPr>
          <w:rFonts w:ascii="Humnst777 BT" w:hAnsi="Humnst777 BT"/>
          <w:i/>
          <w:highlight w:val="cyan"/>
        </w:rPr>
        <w:t xml:space="preserve"> </w:t>
      </w:r>
      <w:r w:rsidR="00817FF0" w:rsidRPr="00900907">
        <w:rPr>
          <w:rFonts w:ascii="Humnst777 BT" w:hAnsi="Humnst777 BT"/>
          <w:i/>
          <w:highlight w:val="cyan"/>
        </w:rPr>
        <w:t>data within 10 days of receipt.</w:t>
      </w:r>
      <w:r w:rsidR="002B6383" w:rsidRPr="00900907">
        <w:rPr>
          <w:rFonts w:ascii="Humnst777 BT" w:hAnsi="Humnst777 BT"/>
          <w:i/>
          <w:highlight w:val="cyan"/>
        </w:rPr>
        <w:t xml:space="preserve"> </w:t>
      </w:r>
      <w:r w:rsidR="004312C8" w:rsidRPr="00900907">
        <w:rPr>
          <w:rFonts w:ascii="Humnst777 BT" w:hAnsi="Humnst777 BT"/>
          <w:i/>
          <w:highlight w:val="cyan"/>
        </w:rPr>
        <w:t>Two e</w:t>
      </w:r>
      <w:r w:rsidR="002B6383" w:rsidRPr="00900907">
        <w:rPr>
          <w:rFonts w:ascii="Humnst777 BT" w:hAnsi="Humnst777 BT"/>
          <w:i/>
          <w:highlight w:val="cyan"/>
        </w:rPr>
        <w:t>xample</w:t>
      </w:r>
      <w:r w:rsidR="004312C8" w:rsidRPr="00900907">
        <w:rPr>
          <w:rFonts w:ascii="Humnst777 BT" w:hAnsi="Humnst777 BT"/>
          <w:i/>
          <w:highlight w:val="cyan"/>
        </w:rPr>
        <w:t>s,</w:t>
      </w:r>
      <w:r w:rsidR="002B6383" w:rsidRPr="00900907">
        <w:rPr>
          <w:rFonts w:ascii="Humnst777 BT" w:hAnsi="Humnst777 BT"/>
          <w:i/>
          <w:highlight w:val="cyan"/>
        </w:rPr>
        <w:t xml:space="preserve"> from IT </w:t>
      </w:r>
      <w:r w:rsidR="004312C8" w:rsidRPr="00900907">
        <w:rPr>
          <w:rFonts w:ascii="Humnst777 BT" w:hAnsi="Humnst777 BT"/>
          <w:i/>
          <w:highlight w:val="cyan"/>
        </w:rPr>
        <w:t>and Estates &amp; Facilities, are</w:t>
      </w:r>
      <w:r w:rsidR="002B6383" w:rsidRPr="00900907">
        <w:rPr>
          <w:rFonts w:ascii="Humnst777 BT" w:hAnsi="Humnst777 BT"/>
          <w:i/>
          <w:highlight w:val="cyan"/>
        </w:rPr>
        <w:t xml:space="preserve"> provided</w:t>
      </w:r>
      <w:r w:rsidR="00817FF0" w:rsidRPr="00900907">
        <w:rPr>
          <w:rFonts w:ascii="Humnst777 BT" w:hAnsi="Humnst777 BT"/>
          <w:i/>
          <w:highlight w:val="cyan"/>
        </w:rPr>
        <w:t>&gt;</w:t>
      </w:r>
    </w:p>
    <w:p w14:paraId="7309F10B" w14:textId="77777777" w:rsidR="004312C8" w:rsidRDefault="004312C8" w:rsidP="00817FF0">
      <w:pPr>
        <w:spacing w:after="0" w:line="240" w:lineRule="auto"/>
        <w:rPr>
          <w:rFonts w:ascii="Humnst777 BT" w:hAnsi="Humnst777 BT"/>
          <w:i/>
        </w:rPr>
      </w:pP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3179"/>
        <w:gridCol w:w="3179"/>
      </w:tblGrid>
      <w:tr w:rsidR="002B6383" w:rsidRPr="002B6383" w14:paraId="545E00B1" w14:textId="77777777" w:rsidTr="00F272BB">
        <w:tc>
          <w:tcPr>
            <w:tcW w:w="2842" w:type="dxa"/>
            <w:shd w:val="clear" w:color="auto" w:fill="E6E6E6"/>
          </w:tcPr>
          <w:p w14:paraId="5F71288F" w14:textId="77777777" w:rsidR="002B6383" w:rsidRPr="002B6383" w:rsidRDefault="002B6383" w:rsidP="002B6383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rPr>
                <w:rFonts w:ascii="Humnst777 BT" w:hAnsi="Humnst777 BT"/>
                <w:b/>
              </w:rPr>
            </w:pPr>
            <w:r w:rsidRPr="002B6383">
              <w:rPr>
                <w:rFonts w:ascii="Humnst777 BT" w:hAnsi="Humnst777 BT"/>
                <w:b/>
              </w:rPr>
              <w:t>Priority</w:t>
            </w:r>
          </w:p>
        </w:tc>
        <w:tc>
          <w:tcPr>
            <w:tcW w:w="3179" w:type="dxa"/>
            <w:shd w:val="clear" w:color="auto" w:fill="E6E6E6"/>
          </w:tcPr>
          <w:p w14:paraId="132DCFA4" w14:textId="77777777" w:rsidR="002B6383" w:rsidRPr="002B6383" w:rsidRDefault="002B6383" w:rsidP="002B6383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rPr>
                <w:rFonts w:ascii="Humnst777 BT" w:hAnsi="Humnst777 BT"/>
                <w:b/>
              </w:rPr>
            </w:pPr>
            <w:r w:rsidRPr="002B6383">
              <w:rPr>
                <w:rFonts w:ascii="Humnst777 BT" w:hAnsi="Humnst777 BT"/>
                <w:b/>
              </w:rPr>
              <w:t>Communication from Support team</w:t>
            </w:r>
          </w:p>
        </w:tc>
        <w:tc>
          <w:tcPr>
            <w:tcW w:w="3179" w:type="dxa"/>
            <w:shd w:val="clear" w:color="auto" w:fill="E6E6E6"/>
          </w:tcPr>
          <w:p w14:paraId="5F838A50" w14:textId="77777777" w:rsidR="002B6383" w:rsidRPr="002B6383" w:rsidRDefault="002B6383" w:rsidP="002B6383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rPr>
                <w:rFonts w:ascii="Humnst777 BT" w:hAnsi="Humnst777 BT"/>
                <w:b/>
              </w:rPr>
            </w:pPr>
            <w:r w:rsidRPr="002B6383">
              <w:rPr>
                <w:rFonts w:ascii="Humnst777 BT" w:hAnsi="Humnst777 BT"/>
                <w:b/>
              </w:rPr>
              <w:t>Ongoing Updates</w:t>
            </w:r>
          </w:p>
        </w:tc>
      </w:tr>
      <w:tr w:rsidR="002B6383" w:rsidRPr="002B6383" w14:paraId="39E8F2AA" w14:textId="77777777" w:rsidTr="00F272BB">
        <w:tc>
          <w:tcPr>
            <w:tcW w:w="2842" w:type="dxa"/>
            <w:shd w:val="clear" w:color="auto" w:fill="auto"/>
          </w:tcPr>
          <w:p w14:paraId="354D7A24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>Critical (priority 1)</w:t>
            </w:r>
          </w:p>
        </w:tc>
        <w:tc>
          <w:tcPr>
            <w:tcW w:w="3179" w:type="dxa"/>
            <w:shd w:val="clear" w:color="auto" w:fill="auto"/>
          </w:tcPr>
          <w:p w14:paraId="785389DF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 xml:space="preserve">Within 15 minutes </w:t>
            </w:r>
          </w:p>
        </w:tc>
        <w:tc>
          <w:tcPr>
            <w:tcW w:w="3179" w:type="dxa"/>
            <w:shd w:val="clear" w:color="auto" w:fill="auto"/>
          </w:tcPr>
          <w:p w14:paraId="37DD2533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 xml:space="preserve">Every hour </w:t>
            </w:r>
          </w:p>
        </w:tc>
      </w:tr>
      <w:tr w:rsidR="002B6383" w:rsidRPr="002B6383" w14:paraId="2E3390AD" w14:textId="77777777" w:rsidTr="00F272BB">
        <w:tc>
          <w:tcPr>
            <w:tcW w:w="2842" w:type="dxa"/>
            <w:shd w:val="clear" w:color="auto" w:fill="auto"/>
          </w:tcPr>
          <w:p w14:paraId="38B23521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>High (priority 2)</w:t>
            </w:r>
          </w:p>
        </w:tc>
        <w:tc>
          <w:tcPr>
            <w:tcW w:w="3179" w:type="dxa"/>
            <w:shd w:val="clear" w:color="auto" w:fill="auto"/>
          </w:tcPr>
          <w:p w14:paraId="27AD16DF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 xml:space="preserve">Within 1 working hours </w:t>
            </w:r>
          </w:p>
        </w:tc>
        <w:tc>
          <w:tcPr>
            <w:tcW w:w="3179" w:type="dxa"/>
            <w:shd w:val="clear" w:color="auto" w:fill="auto"/>
          </w:tcPr>
          <w:p w14:paraId="3653215C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 xml:space="preserve">As agreed with the user </w:t>
            </w:r>
          </w:p>
        </w:tc>
      </w:tr>
      <w:tr w:rsidR="002B6383" w:rsidRPr="002B6383" w14:paraId="2D261DA6" w14:textId="77777777" w:rsidTr="00F272BB">
        <w:tc>
          <w:tcPr>
            <w:tcW w:w="2842" w:type="dxa"/>
            <w:shd w:val="clear" w:color="auto" w:fill="auto"/>
          </w:tcPr>
          <w:p w14:paraId="0B4216EA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>Medium (priority 3)</w:t>
            </w:r>
          </w:p>
        </w:tc>
        <w:tc>
          <w:tcPr>
            <w:tcW w:w="3179" w:type="dxa"/>
            <w:shd w:val="clear" w:color="auto" w:fill="auto"/>
          </w:tcPr>
          <w:p w14:paraId="0175CF3A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 xml:space="preserve">Within 2 working hours </w:t>
            </w:r>
          </w:p>
        </w:tc>
        <w:tc>
          <w:tcPr>
            <w:tcW w:w="3179" w:type="dxa"/>
            <w:shd w:val="clear" w:color="auto" w:fill="auto"/>
          </w:tcPr>
          <w:p w14:paraId="1F9B8ABC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  <w:color w:val="993366"/>
              </w:rPr>
            </w:pPr>
            <w:r w:rsidRPr="002B6383">
              <w:rPr>
                <w:rFonts w:ascii="Humnst777 BT" w:hAnsi="Humnst777 BT"/>
              </w:rPr>
              <w:t>Updates will be provided through Heat Self Service.</w:t>
            </w:r>
          </w:p>
        </w:tc>
      </w:tr>
      <w:tr w:rsidR="002B6383" w:rsidRPr="002B6383" w14:paraId="3B75EDB6" w14:textId="77777777" w:rsidTr="00F272BB">
        <w:tc>
          <w:tcPr>
            <w:tcW w:w="2842" w:type="dxa"/>
            <w:shd w:val="clear" w:color="auto" w:fill="auto"/>
          </w:tcPr>
          <w:p w14:paraId="2A4C35FF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>Low (priority 4)</w:t>
            </w:r>
          </w:p>
        </w:tc>
        <w:tc>
          <w:tcPr>
            <w:tcW w:w="3179" w:type="dxa"/>
            <w:shd w:val="clear" w:color="auto" w:fill="auto"/>
          </w:tcPr>
          <w:p w14:paraId="48C03ACF" w14:textId="77777777" w:rsidR="002B6383" w:rsidRP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>Within 2 working hours</w:t>
            </w:r>
          </w:p>
        </w:tc>
        <w:tc>
          <w:tcPr>
            <w:tcW w:w="3179" w:type="dxa"/>
            <w:shd w:val="clear" w:color="auto" w:fill="auto"/>
          </w:tcPr>
          <w:p w14:paraId="119CFE1E" w14:textId="77777777" w:rsidR="002B6383" w:rsidRDefault="002B6383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  <w:r w:rsidRPr="002B6383">
              <w:rPr>
                <w:rFonts w:ascii="Humnst777 BT" w:hAnsi="Humnst777 BT"/>
              </w:rPr>
              <w:t>Use Self Service to view updates</w:t>
            </w:r>
          </w:p>
          <w:p w14:paraId="4ECD77B3" w14:textId="77777777" w:rsidR="004312C8" w:rsidRPr="002B6383" w:rsidRDefault="004312C8" w:rsidP="00A8239F">
            <w:pPr>
              <w:overflowPunct w:val="0"/>
              <w:autoSpaceDE w:val="0"/>
              <w:autoSpaceDN w:val="0"/>
              <w:adjustRightInd w:val="0"/>
              <w:spacing w:before="120" w:after="120"/>
              <w:ind w:right="28"/>
              <w:jc w:val="both"/>
              <w:rPr>
                <w:rFonts w:ascii="Humnst777 BT" w:hAnsi="Humnst777 BT"/>
              </w:rPr>
            </w:pP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4312C8" w:rsidRPr="00456551" w14:paraId="7FACC3A6" w14:textId="77777777" w:rsidTr="00297E51">
        <w:trPr>
          <w:trHeight w:val="274"/>
        </w:trPr>
        <w:tc>
          <w:tcPr>
            <w:tcW w:w="9067" w:type="dxa"/>
            <w:gridSpan w:val="2"/>
            <w:shd w:val="clear" w:color="auto" w:fill="000000" w:themeFill="text1"/>
          </w:tcPr>
          <w:p w14:paraId="362D373C" w14:textId="77777777" w:rsidR="004312C8" w:rsidRPr="004312C8" w:rsidRDefault="004312C8" w:rsidP="00A8239F">
            <w:pPr>
              <w:rPr>
                <w:rFonts w:ascii="Humnst777 BT" w:hAnsi="Humnst777 BT"/>
                <w:b/>
              </w:rPr>
            </w:pPr>
            <w:r w:rsidRPr="004312C8">
              <w:rPr>
                <w:rFonts w:ascii="Humnst777 BT" w:hAnsi="Humnst777 BT"/>
                <w:b/>
              </w:rPr>
              <w:lastRenderedPageBreak/>
              <w:t>Response Times</w:t>
            </w:r>
          </w:p>
        </w:tc>
      </w:tr>
      <w:tr w:rsidR="004312C8" w14:paraId="05DCC7FA" w14:textId="77777777" w:rsidTr="00297E51">
        <w:trPr>
          <w:trHeight w:val="274"/>
        </w:trPr>
        <w:tc>
          <w:tcPr>
            <w:tcW w:w="4673" w:type="dxa"/>
          </w:tcPr>
          <w:p w14:paraId="21DAA2C1" w14:textId="77777777" w:rsidR="004312C8" w:rsidRPr="004312C8" w:rsidRDefault="004312C8" w:rsidP="00A8239F">
            <w:pPr>
              <w:rPr>
                <w:rFonts w:ascii="Humnst777 BT" w:hAnsi="Humnst777 BT"/>
              </w:rPr>
            </w:pPr>
            <w:r w:rsidRPr="004312C8">
              <w:rPr>
                <w:rFonts w:ascii="Humnst777 BT" w:hAnsi="Humnst777 BT"/>
              </w:rPr>
              <w:t>Priority 1 - Emergency</w:t>
            </w:r>
          </w:p>
        </w:tc>
        <w:tc>
          <w:tcPr>
            <w:tcW w:w="4394" w:type="dxa"/>
          </w:tcPr>
          <w:p w14:paraId="5BA28BDF" w14:textId="77777777" w:rsidR="004312C8" w:rsidRPr="004312C8" w:rsidRDefault="004312C8" w:rsidP="00A8239F">
            <w:pPr>
              <w:rPr>
                <w:rFonts w:ascii="Humnst777 BT" w:hAnsi="Humnst777 BT"/>
              </w:rPr>
            </w:pPr>
            <w:r w:rsidRPr="004312C8">
              <w:rPr>
                <w:rFonts w:ascii="Humnst777 BT" w:hAnsi="Humnst777 BT"/>
              </w:rPr>
              <w:t>1 Hour</w:t>
            </w:r>
          </w:p>
        </w:tc>
      </w:tr>
      <w:tr w:rsidR="004312C8" w14:paraId="46929A03" w14:textId="77777777" w:rsidTr="00297E51">
        <w:trPr>
          <w:trHeight w:val="286"/>
        </w:trPr>
        <w:tc>
          <w:tcPr>
            <w:tcW w:w="4673" w:type="dxa"/>
          </w:tcPr>
          <w:p w14:paraId="01F06CC2" w14:textId="77777777" w:rsidR="004312C8" w:rsidRPr="004312C8" w:rsidRDefault="004312C8" w:rsidP="00A8239F">
            <w:pPr>
              <w:rPr>
                <w:rFonts w:ascii="Humnst777 BT" w:hAnsi="Humnst777 BT"/>
              </w:rPr>
            </w:pPr>
            <w:r w:rsidRPr="004312C8">
              <w:rPr>
                <w:rFonts w:ascii="Humnst777 BT" w:hAnsi="Humnst777 BT"/>
              </w:rPr>
              <w:t>Priority 2 - Urgent</w:t>
            </w:r>
          </w:p>
        </w:tc>
        <w:tc>
          <w:tcPr>
            <w:tcW w:w="4394" w:type="dxa"/>
          </w:tcPr>
          <w:p w14:paraId="7F890505" w14:textId="77777777" w:rsidR="004312C8" w:rsidRPr="004312C8" w:rsidRDefault="004312C8" w:rsidP="00A8239F">
            <w:pPr>
              <w:rPr>
                <w:rFonts w:ascii="Humnst777 BT" w:hAnsi="Humnst777 BT"/>
              </w:rPr>
            </w:pPr>
            <w:r w:rsidRPr="004312C8">
              <w:rPr>
                <w:rFonts w:ascii="Humnst777 BT" w:hAnsi="Humnst777 BT"/>
              </w:rPr>
              <w:t>3 Working Days</w:t>
            </w:r>
          </w:p>
        </w:tc>
      </w:tr>
      <w:tr w:rsidR="004312C8" w14:paraId="45AB8D77" w14:textId="77777777" w:rsidTr="00297E51">
        <w:trPr>
          <w:trHeight w:val="274"/>
        </w:trPr>
        <w:tc>
          <w:tcPr>
            <w:tcW w:w="4673" w:type="dxa"/>
          </w:tcPr>
          <w:p w14:paraId="012B45FA" w14:textId="77777777" w:rsidR="004312C8" w:rsidRPr="004312C8" w:rsidRDefault="004312C8" w:rsidP="00A8239F">
            <w:pPr>
              <w:rPr>
                <w:rFonts w:ascii="Humnst777 BT" w:hAnsi="Humnst777 BT"/>
              </w:rPr>
            </w:pPr>
            <w:r w:rsidRPr="004312C8">
              <w:rPr>
                <w:rFonts w:ascii="Humnst777 BT" w:hAnsi="Humnst777 BT"/>
              </w:rPr>
              <w:t>Priority 3 - Routine</w:t>
            </w:r>
          </w:p>
        </w:tc>
        <w:tc>
          <w:tcPr>
            <w:tcW w:w="4394" w:type="dxa"/>
          </w:tcPr>
          <w:p w14:paraId="742835F9" w14:textId="77777777" w:rsidR="004312C8" w:rsidRPr="004312C8" w:rsidRDefault="004312C8" w:rsidP="00A8239F">
            <w:pPr>
              <w:rPr>
                <w:rFonts w:ascii="Humnst777 BT" w:hAnsi="Humnst777 BT"/>
              </w:rPr>
            </w:pPr>
            <w:r w:rsidRPr="004312C8">
              <w:rPr>
                <w:rFonts w:ascii="Humnst777 BT" w:hAnsi="Humnst777 BT"/>
              </w:rPr>
              <w:t xml:space="preserve">5 Working Days </w:t>
            </w:r>
          </w:p>
        </w:tc>
      </w:tr>
    </w:tbl>
    <w:p w14:paraId="615EE4EC" w14:textId="77777777" w:rsidR="002B6383" w:rsidRDefault="002B6383" w:rsidP="00817FF0">
      <w:pPr>
        <w:spacing w:after="0" w:line="240" w:lineRule="auto"/>
        <w:rPr>
          <w:rFonts w:ascii="Humnst777 BT" w:hAnsi="Humnst777 BT"/>
          <w:i/>
        </w:rPr>
      </w:pPr>
    </w:p>
    <w:p w14:paraId="240A9223" w14:textId="77777777" w:rsidR="003E334E" w:rsidRDefault="003E334E" w:rsidP="003E334E">
      <w:pPr>
        <w:pStyle w:val="Heading1"/>
        <w:rPr>
          <w:rFonts w:ascii="Humnst777 BT" w:hAnsi="Humnst777 BT"/>
          <w:color w:val="1F4E79" w:themeColor="accent1" w:themeShade="80"/>
        </w:rPr>
      </w:pPr>
    </w:p>
    <w:p w14:paraId="77B267AF" w14:textId="3534D412" w:rsidR="003E334E" w:rsidRPr="003E334E" w:rsidRDefault="003E334E" w:rsidP="003E334E">
      <w:pPr>
        <w:pStyle w:val="Heading1"/>
        <w:rPr>
          <w:rFonts w:ascii="Humnst777 BT" w:hAnsi="Humnst777 BT"/>
          <w:color w:val="1F4E79" w:themeColor="accent1" w:themeShade="80"/>
        </w:rPr>
      </w:pPr>
      <w:r w:rsidRPr="003E334E">
        <w:rPr>
          <w:rFonts w:ascii="Humnst777 BT" w:hAnsi="Humnst777 BT"/>
          <w:color w:val="1F4E79" w:themeColor="accent1" w:themeShade="80"/>
        </w:rPr>
        <w:t xml:space="preserve">Section </w:t>
      </w:r>
      <w:r>
        <w:rPr>
          <w:rFonts w:ascii="Humnst777 BT" w:hAnsi="Humnst777 BT"/>
          <w:color w:val="1F4E79" w:themeColor="accent1" w:themeShade="80"/>
        </w:rPr>
        <w:t>B</w:t>
      </w:r>
    </w:p>
    <w:p w14:paraId="108111A5" w14:textId="57F97164" w:rsidR="004312C8" w:rsidRDefault="004312C8" w:rsidP="00817FF0">
      <w:pPr>
        <w:spacing w:after="0" w:line="240" w:lineRule="auto"/>
        <w:rPr>
          <w:rFonts w:ascii="Humnst777 BT" w:hAnsi="Humnst777 BT"/>
          <w:i/>
        </w:rPr>
      </w:pPr>
    </w:p>
    <w:p w14:paraId="428EAD99" w14:textId="77777777" w:rsidR="00817FF0" w:rsidRDefault="002B6383" w:rsidP="00817FF0">
      <w:pPr>
        <w:pStyle w:val="Heading1"/>
        <w:numPr>
          <w:ilvl w:val="0"/>
          <w:numId w:val="10"/>
        </w:numPr>
        <w:ind w:hanging="720"/>
        <w:rPr>
          <w:rFonts w:ascii="Humnst777 BT" w:hAnsi="Humnst777 BT"/>
          <w:color w:val="auto"/>
        </w:rPr>
      </w:pPr>
      <w:r>
        <w:rPr>
          <w:rFonts w:ascii="Humnst777 BT" w:hAnsi="Humnst777 BT"/>
          <w:color w:val="auto"/>
        </w:rPr>
        <w:t xml:space="preserve">Key Performance Indicators and </w:t>
      </w:r>
      <w:r w:rsidR="00817FF0" w:rsidRPr="00817FF0">
        <w:rPr>
          <w:rFonts w:ascii="Humnst777 BT" w:hAnsi="Humnst777 BT"/>
          <w:color w:val="auto"/>
        </w:rPr>
        <w:t>Benchmarking</w:t>
      </w:r>
      <w:r>
        <w:rPr>
          <w:rFonts w:ascii="Humnst777 BT" w:hAnsi="Humnst777 BT"/>
          <w:color w:val="auto"/>
        </w:rPr>
        <w:t xml:space="preserve"> </w:t>
      </w:r>
    </w:p>
    <w:p w14:paraId="76A6AB6F" w14:textId="77777777" w:rsidR="00817FF0" w:rsidRDefault="00817FF0" w:rsidP="00817FF0">
      <w:pPr>
        <w:pStyle w:val="Heading1"/>
      </w:pPr>
    </w:p>
    <w:p w14:paraId="730BADE4" w14:textId="77777777" w:rsidR="002B6383" w:rsidRPr="002B6383" w:rsidRDefault="002B6383" w:rsidP="002B6383">
      <w:pPr>
        <w:spacing w:after="0" w:line="240" w:lineRule="auto"/>
        <w:rPr>
          <w:rFonts w:ascii="Humnst777 BT" w:hAnsi="Humnst777 BT"/>
          <w:b/>
          <w:i/>
          <w:color w:val="FF0000"/>
        </w:rPr>
      </w:pPr>
      <w:r w:rsidRPr="002B6383">
        <w:rPr>
          <w:rFonts w:ascii="Humnst777 BT" w:hAnsi="Humnst777 BT"/>
          <w:b/>
          <w:i/>
          <w:color w:val="FF0000"/>
        </w:rPr>
        <w:t>Please note this section is only required for departments using TEMPLATE B. Those using TEMPLATE A may delete this section.</w:t>
      </w:r>
    </w:p>
    <w:p w14:paraId="221B0BAD" w14:textId="77777777" w:rsidR="002B6383" w:rsidRPr="002B6383" w:rsidRDefault="002B6383" w:rsidP="002B6383">
      <w:pPr>
        <w:pStyle w:val="Heading1"/>
      </w:pPr>
    </w:p>
    <w:p w14:paraId="029BAB77" w14:textId="7DC1E413" w:rsidR="002B6383" w:rsidRDefault="00817FF0" w:rsidP="00817FF0">
      <w:pPr>
        <w:spacing w:after="0" w:line="240" w:lineRule="auto"/>
        <w:rPr>
          <w:rFonts w:ascii="Humnst777 BT" w:hAnsi="Humnst777 BT"/>
          <w:i/>
          <w:highlight w:val="cyan"/>
        </w:rPr>
      </w:pPr>
      <w:r w:rsidRPr="00900907">
        <w:rPr>
          <w:rFonts w:ascii="Humnst777 BT" w:hAnsi="Humnst777 BT"/>
          <w:i/>
          <w:highlight w:val="cyan"/>
        </w:rPr>
        <w:t xml:space="preserve">&lt;Use this section to </w:t>
      </w:r>
      <w:r w:rsidR="002B6383" w:rsidRPr="00900907">
        <w:rPr>
          <w:rFonts w:ascii="Humnst777 BT" w:hAnsi="Humnst777 BT"/>
          <w:i/>
          <w:highlight w:val="cyan"/>
        </w:rPr>
        <w:t>set out your service’s KPIs which must be measured and evaluated as part of Professional Services Annual Monitoring. An example from IT is provided</w:t>
      </w:r>
      <w:r w:rsidR="00993CEF" w:rsidRPr="00900907">
        <w:rPr>
          <w:rFonts w:ascii="Humnst777 BT" w:hAnsi="Humnst777 BT"/>
          <w:i/>
          <w:highlight w:val="cyan"/>
        </w:rPr>
        <w:t xml:space="preserve"> on the next page</w:t>
      </w:r>
      <w:r w:rsidR="00900907">
        <w:rPr>
          <w:rFonts w:ascii="Humnst777 BT" w:hAnsi="Humnst777 BT"/>
          <w:i/>
          <w:highlight w:val="cyan"/>
        </w:rPr>
        <w:t xml:space="preserve">. KPI data </w:t>
      </w:r>
      <w:r w:rsidR="00900907" w:rsidRPr="00900907">
        <w:rPr>
          <w:rFonts w:ascii="Humnst777 BT" w:hAnsi="Humnst777 BT"/>
          <w:i/>
          <w:highlight w:val="cyan"/>
        </w:rPr>
        <w:t>must be provided in a useable format for management reporting, in order to track issues over time and effectively close the loop</w:t>
      </w:r>
      <w:r w:rsidR="00993CEF" w:rsidRPr="00900907">
        <w:rPr>
          <w:rFonts w:ascii="Humnst777 BT" w:hAnsi="Humnst777 BT"/>
          <w:i/>
          <w:highlight w:val="cyan"/>
        </w:rPr>
        <w:t>&gt;</w:t>
      </w:r>
    </w:p>
    <w:p w14:paraId="1257ADEF" w14:textId="0F9001D4" w:rsidR="00A52536" w:rsidRDefault="00A52536" w:rsidP="00817FF0">
      <w:pPr>
        <w:spacing w:after="0" w:line="240" w:lineRule="auto"/>
        <w:rPr>
          <w:rFonts w:ascii="Humnst777 BT" w:hAnsi="Humnst777 BT"/>
          <w:i/>
          <w:highlight w:val="cyan"/>
        </w:rPr>
      </w:pPr>
    </w:p>
    <w:p w14:paraId="22A2CAC7" w14:textId="39C8B672" w:rsidR="00A52536" w:rsidRPr="00900907" w:rsidRDefault="00A52536" w:rsidP="00817FF0">
      <w:pPr>
        <w:spacing w:after="0" w:line="240" w:lineRule="auto"/>
        <w:rPr>
          <w:rFonts w:ascii="Humnst777 BT" w:hAnsi="Humnst777 BT"/>
          <w:i/>
          <w:highlight w:val="cyan"/>
        </w:rPr>
      </w:pPr>
      <w:r>
        <w:rPr>
          <w:rFonts w:ascii="Humnst777 BT" w:hAnsi="Humnst777 BT"/>
          <w:i/>
          <w:highlight w:val="cyan"/>
        </w:rPr>
        <w:t xml:space="preserve">You </w:t>
      </w:r>
      <w:r w:rsidR="008C0A5B">
        <w:rPr>
          <w:rFonts w:ascii="Humnst777 BT" w:hAnsi="Humnst777 BT"/>
          <w:i/>
          <w:highlight w:val="cyan"/>
        </w:rPr>
        <w:t>can</w:t>
      </w:r>
      <w:r>
        <w:rPr>
          <w:rFonts w:ascii="Humnst777 BT" w:hAnsi="Humnst777 BT"/>
          <w:i/>
          <w:highlight w:val="cyan"/>
        </w:rPr>
        <w:t xml:space="preserve"> refer to the </w:t>
      </w:r>
      <w:hyperlink r:id="rId9" w:history="1">
        <w:r w:rsidRPr="00A52536">
          <w:rPr>
            <w:rStyle w:val="Hyperlink"/>
            <w:rFonts w:ascii="Humnst777 BT" w:hAnsi="Humnst777 BT"/>
            <w:i/>
            <w:highlight w:val="cyan"/>
          </w:rPr>
          <w:t>University KPIs</w:t>
        </w:r>
      </w:hyperlink>
      <w:r>
        <w:rPr>
          <w:rFonts w:ascii="Humnst777 BT" w:hAnsi="Humnst777 BT"/>
          <w:i/>
          <w:highlight w:val="cyan"/>
        </w:rPr>
        <w:t xml:space="preserve"> when constructing your service KPIs</w:t>
      </w:r>
    </w:p>
    <w:p w14:paraId="27FE809E" w14:textId="77777777" w:rsidR="00CC2F03" w:rsidRDefault="00CC2F03" w:rsidP="00817FF0">
      <w:pPr>
        <w:spacing w:after="0" w:line="240" w:lineRule="auto"/>
        <w:rPr>
          <w:rFonts w:ascii="Humnst777 BT" w:hAnsi="Humnst777 BT"/>
          <w:i/>
        </w:rPr>
      </w:pPr>
    </w:p>
    <w:p w14:paraId="6CADE0BB" w14:textId="77777777" w:rsidR="00D01DC4" w:rsidRDefault="00D01DC4" w:rsidP="00817FF0">
      <w:pPr>
        <w:spacing w:after="0" w:line="240" w:lineRule="auto"/>
        <w:rPr>
          <w:rFonts w:ascii="Humnst777 BT" w:hAnsi="Humnst777 BT"/>
          <w:i/>
        </w:rPr>
      </w:pPr>
    </w:p>
    <w:p w14:paraId="0D20EE56" w14:textId="2D13D3B7" w:rsidR="00D01DC4" w:rsidRDefault="00D01DC4" w:rsidP="00817FF0">
      <w:pPr>
        <w:spacing w:after="0" w:line="240" w:lineRule="auto"/>
        <w:rPr>
          <w:rFonts w:ascii="Humnst777 BT" w:hAnsi="Humnst777 BT"/>
          <w:i/>
        </w:rPr>
        <w:sectPr w:rsidR="00D01DC4" w:rsidSect="00817FF0">
          <w:foot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37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9"/>
        <w:gridCol w:w="2299"/>
        <w:gridCol w:w="580"/>
        <w:gridCol w:w="7921"/>
        <w:gridCol w:w="910"/>
        <w:gridCol w:w="709"/>
        <w:gridCol w:w="721"/>
      </w:tblGrid>
      <w:tr w:rsidR="00CC2F03" w:rsidRPr="002920EB" w14:paraId="6911F6E1" w14:textId="77777777" w:rsidTr="00A8239F">
        <w:trPr>
          <w:trHeight w:val="481"/>
        </w:trPr>
        <w:tc>
          <w:tcPr>
            <w:tcW w:w="63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F968888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30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D00BC1E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50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203DCEB3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I.T. MONTHLY KPI REPORT</w:t>
            </w:r>
          </w:p>
        </w:tc>
        <w:tc>
          <w:tcPr>
            <w:tcW w:w="9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E2F6FFB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3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CE7F0E8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</w:p>
        </w:tc>
      </w:tr>
      <w:tr w:rsidR="00CC2F03" w:rsidRPr="002920EB" w14:paraId="0B3B909D" w14:textId="77777777" w:rsidTr="00A8239F">
        <w:trPr>
          <w:trHeight w:val="262"/>
        </w:trPr>
        <w:tc>
          <w:tcPr>
            <w:tcW w:w="639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3906A7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 xml:space="preserve">KPI </w:t>
            </w:r>
          </w:p>
        </w:tc>
        <w:tc>
          <w:tcPr>
            <w:tcW w:w="2308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C12A9B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Priority / Item</w:t>
            </w:r>
          </w:p>
        </w:tc>
        <w:tc>
          <w:tcPr>
            <w:tcW w:w="8501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48C528E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Definition of Key Performance Targets</w:t>
            </w:r>
          </w:p>
        </w:tc>
        <w:tc>
          <w:tcPr>
            <w:tcW w:w="1619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647C7AF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Actual</w:t>
            </w:r>
          </w:p>
        </w:tc>
        <w:tc>
          <w:tcPr>
            <w:tcW w:w="7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C463F5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R/G</w:t>
            </w:r>
          </w:p>
        </w:tc>
      </w:tr>
      <w:tr w:rsidR="00CC2F03" w:rsidRPr="002920EB" w14:paraId="133312AE" w14:textId="77777777" w:rsidTr="00A8239F">
        <w:trPr>
          <w:trHeight w:val="260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07278C03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SERVICE REQUESTS</w:t>
            </w:r>
          </w:p>
        </w:tc>
      </w:tr>
      <w:tr w:rsidR="00CC2F03" w:rsidRPr="002920EB" w14:paraId="2BECE382" w14:textId="77777777" w:rsidTr="00A8239F">
        <w:trPr>
          <w:trHeight w:val="260"/>
        </w:trPr>
        <w:tc>
          <w:tcPr>
            <w:tcW w:w="648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29604A8B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6E188C36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Initial Response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3EC7EC07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90% in 2 working hours  - (Remaining within 2 working days)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B69E7D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92%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14:paraId="76EAE1FF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</w:p>
        </w:tc>
      </w:tr>
      <w:tr w:rsidR="00CC2F03" w:rsidRPr="002920EB" w14:paraId="65CC733C" w14:textId="77777777" w:rsidTr="00A8239F">
        <w:trPr>
          <w:trHeight w:val="260"/>
        </w:trPr>
        <w:tc>
          <w:tcPr>
            <w:tcW w:w="648" w:type="dxa"/>
            <w:gridSpan w:val="2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39E0AD0C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2</w:t>
            </w:r>
          </w:p>
        </w:tc>
        <w:tc>
          <w:tcPr>
            <w:tcW w:w="28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7B5B6F63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Completion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7DCD147C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90% within agreed completion date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97CC10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87%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3D7C54C2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</w:p>
        </w:tc>
      </w:tr>
      <w:tr w:rsidR="00CC2F03" w:rsidRPr="002920EB" w14:paraId="606DAB35" w14:textId="77777777" w:rsidTr="00A8239F">
        <w:trPr>
          <w:trHeight w:val="260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F6DC00D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FAULTS AND PROBLEMS</w:t>
            </w:r>
          </w:p>
        </w:tc>
      </w:tr>
      <w:tr w:rsidR="00CC2F03" w:rsidRPr="002920EB" w14:paraId="03B1C17C" w14:textId="77777777" w:rsidTr="00A8239F">
        <w:trPr>
          <w:trHeight w:val="311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6A4DED16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4A8D6738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P1 </w:t>
            </w:r>
            <w:r>
              <w:rPr>
                <w:rFonts w:cs="Arial"/>
              </w:rPr>
              <w:t>–</w:t>
            </w:r>
            <w:r w:rsidRPr="002920EB">
              <w:rPr>
                <w:rFonts w:cs="Arial"/>
              </w:rPr>
              <w:t xml:space="preserve"> Critical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2DBD9D58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90% resolved within 4 working hours of being reported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4A162E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100%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00FF00"/>
            <w:vAlign w:val="center"/>
          </w:tcPr>
          <w:p w14:paraId="5B41BB0D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1DCAA596" w14:textId="77777777" w:rsidTr="00A8239F">
        <w:trPr>
          <w:trHeight w:val="311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55586AC4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3C04CE4D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P2 </w:t>
            </w:r>
            <w:r>
              <w:rPr>
                <w:rFonts w:cs="Arial"/>
              </w:rPr>
              <w:t>–</w:t>
            </w:r>
            <w:r w:rsidRPr="002920EB">
              <w:rPr>
                <w:rFonts w:cs="Arial"/>
              </w:rPr>
              <w:t xml:space="preserve"> High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1F6B256F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80% resolved within 2 working days of submission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C87D569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100%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00FF00"/>
            <w:vAlign w:val="center"/>
          </w:tcPr>
          <w:p w14:paraId="3212FEED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77B98A84" w14:textId="77777777" w:rsidTr="00A8239F">
        <w:trPr>
          <w:trHeight w:val="313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023F3D05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4F148DE8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P3 </w:t>
            </w:r>
            <w:r>
              <w:rPr>
                <w:rFonts w:cs="Arial"/>
              </w:rPr>
              <w:t>–</w:t>
            </w:r>
            <w:r w:rsidRPr="002920EB">
              <w:rPr>
                <w:rFonts w:cs="Arial"/>
              </w:rPr>
              <w:t xml:space="preserve"> Medium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6294D3C0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80% resolved within 5 working days of submission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28C4EC3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80%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14:paraId="5BB6326E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6981A5A1" w14:textId="77777777" w:rsidTr="00A8239F">
        <w:trPr>
          <w:trHeight w:val="313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2403D1A8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418EDC7E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P4 </w:t>
            </w:r>
            <w:r>
              <w:rPr>
                <w:rFonts w:cs="Arial"/>
              </w:rPr>
              <w:t>–</w:t>
            </w:r>
            <w:r w:rsidRPr="002920EB">
              <w:rPr>
                <w:rFonts w:cs="Arial"/>
              </w:rPr>
              <w:t xml:space="preserve"> Low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20ADAC09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80% resolved within 20 working days of submission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1AD9C14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80%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14:paraId="3C4977B1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  <w:highlight w:val="green"/>
              </w:rPr>
            </w:pPr>
          </w:p>
        </w:tc>
      </w:tr>
      <w:tr w:rsidR="00CC2F03" w:rsidRPr="002920EB" w14:paraId="60959B63" w14:textId="77777777" w:rsidTr="00A8239F">
        <w:trPr>
          <w:trHeight w:val="313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2DBBF3A5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1E7ED8D6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Classroom emergency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03513FB2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2920EB">
              <w:rPr>
                <w:rFonts w:cs="Arial"/>
              </w:rPr>
              <w:t xml:space="preserve">0% </w:t>
            </w:r>
            <w:r>
              <w:rPr>
                <w:rFonts w:cs="Arial"/>
              </w:rPr>
              <w:t>attended within 10 minutes</w:t>
            </w:r>
            <w:r w:rsidRPr="002920EB">
              <w:rPr>
                <w:rFonts w:cs="Arial"/>
              </w:rPr>
              <w:t xml:space="preserve"> 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053ABF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95</w:t>
            </w:r>
            <w:r w:rsidRPr="002920EB">
              <w:rPr>
                <w:rFonts w:cs="Arial"/>
                <w:b/>
              </w:rPr>
              <w:t>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14:paraId="66AB9C3C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  <w:highlight w:val="green"/>
              </w:rPr>
            </w:pPr>
          </w:p>
        </w:tc>
      </w:tr>
      <w:tr w:rsidR="00CC2F03" w:rsidRPr="002920EB" w14:paraId="00365E33" w14:textId="77777777" w:rsidTr="00A8239F">
        <w:trPr>
          <w:trHeight w:val="200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6770CE3" w14:textId="77777777" w:rsidR="00CC2F03" w:rsidRPr="002920EB" w:rsidRDefault="00CC2F03" w:rsidP="00A8239F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2920EB">
              <w:rPr>
                <w:rFonts w:cs="Arial"/>
                <w:b/>
              </w:rPr>
              <w:t>CHANGES</w:t>
            </w:r>
          </w:p>
        </w:tc>
      </w:tr>
      <w:tr w:rsidR="00CC2F03" w:rsidRPr="002920EB" w14:paraId="7813CAC7" w14:textId="77777777" w:rsidTr="00A8239F">
        <w:trPr>
          <w:trHeight w:val="354"/>
        </w:trPr>
        <w:tc>
          <w:tcPr>
            <w:tcW w:w="63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40C87610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65660BBE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Initial Response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16DD6EA3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 xml:space="preserve">90% responded to within 2 working days of submission 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EA2B4C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30%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14:paraId="7D8BD268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0CECC72B" w14:textId="77777777" w:rsidTr="00A8239F">
        <w:trPr>
          <w:trHeight w:val="348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2A571CD2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6AF966C0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Status Update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7CE7B202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100% of open changes have had monthly status updates published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A4E40C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75%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F0000"/>
            <w:vAlign w:val="center"/>
          </w:tcPr>
          <w:p w14:paraId="53CD7ACC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3713F838" w14:textId="77777777" w:rsidTr="00A8239F">
        <w:trPr>
          <w:trHeight w:val="157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2A1750A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SYSTEM AVAILABILITY</w:t>
            </w:r>
          </w:p>
        </w:tc>
      </w:tr>
      <w:tr w:rsidR="00CC2F03" w:rsidRPr="002920EB" w14:paraId="7A50AB61" w14:textId="77777777" w:rsidTr="00A8239F">
        <w:trPr>
          <w:trHeight w:val="357"/>
        </w:trPr>
        <w:tc>
          <w:tcPr>
            <w:tcW w:w="63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1426524A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1</w:t>
            </w:r>
            <w:r>
              <w:rPr>
                <w:rFonts w:cs="Arial"/>
              </w:rPr>
              <w:t>0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1D2FA179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Desktop Services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47526876" w14:textId="77777777" w:rsidR="00CC2F03" w:rsidRPr="002920EB" w:rsidRDefault="00CC2F03" w:rsidP="00A8239F">
            <w:pPr>
              <w:tabs>
                <w:tab w:val="num" w:pos="1800"/>
              </w:tabs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99.9% service availability during the past month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7E57FA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100%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00FF00"/>
            <w:vAlign w:val="center"/>
          </w:tcPr>
          <w:p w14:paraId="6D01D4E1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3D21ADD4" w14:textId="77777777" w:rsidTr="00A8239F">
        <w:trPr>
          <w:trHeight w:val="322"/>
        </w:trPr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03CB9AF5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35046014" w14:textId="77777777" w:rsidR="00CC2F03" w:rsidRPr="002920EB" w:rsidRDefault="00CC2F03" w:rsidP="00A8239F">
            <w:pPr>
              <w:rPr>
                <w:rFonts w:cs="Arial"/>
              </w:rPr>
            </w:pPr>
            <w:r>
              <w:rPr>
                <w:rFonts w:cs="Arial"/>
              </w:rPr>
              <w:t>Learning &amp; Teaching Systems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03E6A627" w14:textId="77777777" w:rsidR="00CC2F03" w:rsidRPr="002920EB" w:rsidRDefault="00CC2F03" w:rsidP="00A8239F">
            <w:pPr>
              <w:tabs>
                <w:tab w:val="num" w:pos="1800"/>
              </w:tabs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99.9% service availability during the past month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280D333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90%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0000"/>
            <w:vAlign w:val="center"/>
          </w:tcPr>
          <w:p w14:paraId="63332BBC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6EDEAA94" w14:textId="77777777" w:rsidTr="00A8239F">
        <w:trPr>
          <w:trHeight w:val="311"/>
        </w:trPr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50167262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88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082F07AD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Telephony</w:t>
            </w:r>
          </w:p>
        </w:tc>
        <w:tc>
          <w:tcPr>
            <w:tcW w:w="79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99"/>
            <w:vAlign w:val="center"/>
          </w:tcPr>
          <w:p w14:paraId="0F4624CF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99.9% service availability during the past month</w:t>
            </w:r>
          </w:p>
        </w:tc>
        <w:tc>
          <w:tcPr>
            <w:tcW w:w="161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FECC14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100%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00FF00"/>
            <w:vAlign w:val="center"/>
          </w:tcPr>
          <w:p w14:paraId="19E7DB8F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  <w:tr w:rsidR="00CC2F03" w:rsidRPr="002920EB" w14:paraId="73CC47FB" w14:textId="77777777" w:rsidTr="00A8239F">
        <w:trPr>
          <w:trHeight w:val="157"/>
        </w:trPr>
        <w:tc>
          <w:tcPr>
            <w:tcW w:w="1378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F42E15B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lastRenderedPageBreak/>
              <w:t xml:space="preserve">SECURITY </w:t>
            </w:r>
          </w:p>
        </w:tc>
      </w:tr>
      <w:tr w:rsidR="00CC2F03" w:rsidRPr="002920EB" w14:paraId="7BDE22AF" w14:textId="77777777" w:rsidTr="00A8239F">
        <w:trPr>
          <w:trHeight w:val="346"/>
        </w:trPr>
        <w:tc>
          <w:tcPr>
            <w:tcW w:w="639" w:type="dxa"/>
            <w:tcBorders>
              <w:top w:val="single" w:sz="12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7EF265FC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1</w:t>
            </w:r>
            <w:r>
              <w:rPr>
                <w:rFonts w:cs="Arial"/>
              </w:rPr>
              <w:t>3</w:t>
            </w:r>
          </w:p>
        </w:tc>
        <w:tc>
          <w:tcPr>
            <w:tcW w:w="2888" w:type="dxa"/>
            <w:gridSpan w:val="3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343F73DA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Security Patching</w:t>
            </w:r>
          </w:p>
        </w:tc>
        <w:tc>
          <w:tcPr>
            <w:tcW w:w="7921" w:type="dxa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FFFFCC"/>
            <w:vAlign w:val="center"/>
          </w:tcPr>
          <w:p w14:paraId="014C3D0E" w14:textId="77777777" w:rsidR="00CC2F03" w:rsidRPr="002920EB" w:rsidRDefault="00CC2F03" w:rsidP="00A8239F">
            <w:pPr>
              <w:jc w:val="both"/>
              <w:rPr>
                <w:rFonts w:cs="Arial"/>
              </w:rPr>
            </w:pPr>
            <w:r w:rsidRPr="002920EB">
              <w:rPr>
                <w:rFonts w:cs="Arial"/>
              </w:rPr>
              <w:t>95% of supported systems successfully patched in the past month</w:t>
            </w: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4CEE0CE" w14:textId="77777777" w:rsidR="00CC2F03" w:rsidRPr="002920EB" w:rsidRDefault="00CC2F03" w:rsidP="00A8239F">
            <w:pPr>
              <w:jc w:val="both"/>
              <w:rPr>
                <w:rFonts w:cs="Arial"/>
                <w:b/>
              </w:rPr>
            </w:pPr>
            <w:r w:rsidRPr="002920EB">
              <w:rPr>
                <w:rFonts w:cs="Arial"/>
                <w:b/>
              </w:rPr>
              <w:t>100%</w:t>
            </w:r>
          </w:p>
        </w:tc>
        <w:tc>
          <w:tcPr>
            <w:tcW w:w="721" w:type="dxa"/>
            <w:tcBorders>
              <w:top w:val="single" w:sz="12" w:space="0" w:color="auto"/>
              <w:left w:val="dashSmallGap" w:sz="4" w:space="0" w:color="auto"/>
              <w:bottom w:val="thinThickSmallGap" w:sz="24" w:space="0" w:color="auto"/>
            </w:tcBorders>
            <w:shd w:val="clear" w:color="auto" w:fill="00FF00"/>
            <w:vAlign w:val="center"/>
          </w:tcPr>
          <w:p w14:paraId="6F932ACE" w14:textId="77777777" w:rsidR="00CC2F03" w:rsidRPr="002920EB" w:rsidRDefault="00CC2F03" w:rsidP="00A8239F">
            <w:pPr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13E58B8A" w14:textId="77777777" w:rsidR="00CC2F03" w:rsidRPr="002B6383" w:rsidRDefault="00CC2F03" w:rsidP="00817FF0">
      <w:pPr>
        <w:spacing w:after="0" w:line="240" w:lineRule="auto"/>
        <w:rPr>
          <w:rFonts w:ascii="Humnst777 BT" w:hAnsi="Humnst777 BT"/>
          <w:i/>
        </w:rPr>
      </w:pPr>
    </w:p>
    <w:sectPr w:rsidR="00CC2F03" w:rsidRPr="002B6383" w:rsidSect="00CC2F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49386" w14:textId="77777777" w:rsidR="0025153C" w:rsidRDefault="0025153C" w:rsidP="00C800DE">
      <w:pPr>
        <w:spacing w:after="0" w:line="240" w:lineRule="auto"/>
      </w:pPr>
      <w:r>
        <w:separator/>
      </w:r>
    </w:p>
  </w:endnote>
  <w:endnote w:type="continuationSeparator" w:id="0">
    <w:p w14:paraId="7625FA05" w14:textId="77777777" w:rsidR="0025153C" w:rsidRDefault="0025153C" w:rsidP="00C8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umnst777 BT" w:hAnsi="Humnst777 BT"/>
      </w:rPr>
      <w:id w:val="13001012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7EF2B" w14:textId="629E9BEF" w:rsidR="00C800DE" w:rsidRPr="00817FF0" w:rsidRDefault="00C800DE">
        <w:pPr>
          <w:pStyle w:val="Footer"/>
          <w:jc w:val="center"/>
          <w:rPr>
            <w:rFonts w:ascii="Humnst777 BT" w:hAnsi="Humnst777 BT"/>
          </w:rPr>
        </w:pPr>
        <w:r w:rsidRPr="00817FF0">
          <w:rPr>
            <w:rFonts w:ascii="Humnst777 BT" w:hAnsi="Humnst777 BT"/>
          </w:rPr>
          <w:fldChar w:fldCharType="begin"/>
        </w:r>
        <w:r w:rsidRPr="00817FF0">
          <w:rPr>
            <w:rFonts w:ascii="Humnst777 BT" w:hAnsi="Humnst777 BT"/>
          </w:rPr>
          <w:instrText xml:space="preserve"> PAGE   \* MERGEFORMAT </w:instrText>
        </w:r>
        <w:r w:rsidRPr="00817FF0">
          <w:rPr>
            <w:rFonts w:ascii="Humnst777 BT" w:hAnsi="Humnst777 BT"/>
          </w:rPr>
          <w:fldChar w:fldCharType="separate"/>
        </w:r>
        <w:r w:rsidR="00681612">
          <w:rPr>
            <w:rFonts w:ascii="Humnst777 BT" w:hAnsi="Humnst777 BT"/>
            <w:noProof/>
          </w:rPr>
          <w:t>3</w:t>
        </w:r>
        <w:r w:rsidRPr="00817FF0">
          <w:rPr>
            <w:rFonts w:ascii="Humnst777 BT" w:hAnsi="Humnst777 BT"/>
            <w:noProof/>
          </w:rPr>
          <w:fldChar w:fldCharType="end"/>
        </w:r>
      </w:p>
    </w:sdtContent>
  </w:sdt>
  <w:p w14:paraId="113F365E" w14:textId="77777777" w:rsidR="00C800DE" w:rsidRDefault="00C80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4E35" w14:textId="77777777" w:rsidR="0025153C" w:rsidRDefault="0025153C" w:rsidP="00C800DE">
      <w:pPr>
        <w:spacing w:after="0" w:line="240" w:lineRule="auto"/>
      </w:pPr>
      <w:r>
        <w:separator/>
      </w:r>
    </w:p>
  </w:footnote>
  <w:footnote w:type="continuationSeparator" w:id="0">
    <w:p w14:paraId="08306459" w14:textId="77777777" w:rsidR="0025153C" w:rsidRDefault="0025153C" w:rsidP="00C8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7E7"/>
    <w:multiLevelType w:val="hybridMultilevel"/>
    <w:tmpl w:val="581A445A"/>
    <w:lvl w:ilvl="0" w:tplc="7ED2B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FFD"/>
    <w:multiLevelType w:val="hybridMultilevel"/>
    <w:tmpl w:val="86000D54"/>
    <w:lvl w:ilvl="0" w:tplc="D3168966">
      <w:numFmt w:val="bullet"/>
      <w:lvlText w:val="-"/>
      <w:lvlJc w:val="left"/>
      <w:pPr>
        <w:ind w:left="720" w:hanging="360"/>
      </w:pPr>
      <w:rPr>
        <w:rFonts w:ascii="Humnst777 BT" w:eastAsiaTheme="minorHAnsi" w:hAnsi="Humnst777 B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2712"/>
    <w:multiLevelType w:val="hybridMultilevel"/>
    <w:tmpl w:val="476C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960D4"/>
    <w:multiLevelType w:val="hybridMultilevel"/>
    <w:tmpl w:val="E918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57EA"/>
    <w:multiLevelType w:val="hybridMultilevel"/>
    <w:tmpl w:val="D2522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E638F"/>
    <w:multiLevelType w:val="hybridMultilevel"/>
    <w:tmpl w:val="41ACF0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4F4808"/>
    <w:multiLevelType w:val="hybridMultilevel"/>
    <w:tmpl w:val="4468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011EC"/>
    <w:multiLevelType w:val="hybridMultilevel"/>
    <w:tmpl w:val="8A9E3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0817"/>
    <w:multiLevelType w:val="hybridMultilevel"/>
    <w:tmpl w:val="D7349684"/>
    <w:lvl w:ilvl="0" w:tplc="1DBE41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5530"/>
    <w:multiLevelType w:val="hybridMultilevel"/>
    <w:tmpl w:val="A91E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21"/>
    <w:multiLevelType w:val="hybridMultilevel"/>
    <w:tmpl w:val="7C183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2109F"/>
    <w:multiLevelType w:val="hybridMultilevel"/>
    <w:tmpl w:val="E9A62650"/>
    <w:lvl w:ilvl="0" w:tplc="CE7AB97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A6F7B"/>
    <w:multiLevelType w:val="hybridMultilevel"/>
    <w:tmpl w:val="0752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B2BC9"/>
    <w:multiLevelType w:val="hybridMultilevel"/>
    <w:tmpl w:val="0B88A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6"/>
    <w:rsid w:val="00015D89"/>
    <w:rsid w:val="00024486"/>
    <w:rsid w:val="00081D81"/>
    <w:rsid w:val="0009204D"/>
    <w:rsid w:val="001413C0"/>
    <w:rsid w:val="00146597"/>
    <w:rsid w:val="001771C5"/>
    <w:rsid w:val="001A34EA"/>
    <w:rsid w:val="001A495E"/>
    <w:rsid w:val="001E58DE"/>
    <w:rsid w:val="0025153C"/>
    <w:rsid w:val="00297E51"/>
    <w:rsid w:val="002B6383"/>
    <w:rsid w:val="002B7720"/>
    <w:rsid w:val="002E3E6D"/>
    <w:rsid w:val="00330105"/>
    <w:rsid w:val="00362479"/>
    <w:rsid w:val="00376D1B"/>
    <w:rsid w:val="00383FAD"/>
    <w:rsid w:val="003929DD"/>
    <w:rsid w:val="003D1E1D"/>
    <w:rsid w:val="003E334E"/>
    <w:rsid w:val="003F6389"/>
    <w:rsid w:val="00405D85"/>
    <w:rsid w:val="00417F91"/>
    <w:rsid w:val="0043106A"/>
    <w:rsid w:val="004312C8"/>
    <w:rsid w:val="004F33BF"/>
    <w:rsid w:val="004F6798"/>
    <w:rsid w:val="005378D0"/>
    <w:rsid w:val="00565C26"/>
    <w:rsid w:val="005F2D2D"/>
    <w:rsid w:val="00607183"/>
    <w:rsid w:val="00631F5A"/>
    <w:rsid w:val="00656475"/>
    <w:rsid w:val="00670A9E"/>
    <w:rsid w:val="00676C6D"/>
    <w:rsid w:val="00681612"/>
    <w:rsid w:val="00685CE7"/>
    <w:rsid w:val="00692B94"/>
    <w:rsid w:val="00695835"/>
    <w:rsid w:val="0072509D"/>
    <w:rsid w:val="0075063F"/>
    <w:rsid w:val="007920EE"/>
    <w:rsid w:val="007D67CA"/>
    <w:rsid w:val="00817FF0"/>
    <w:rsid w:val="008752A5"/>
    <w:rsid w:val="008768A8"/>
    <w:rsid w:val="00890A19"/>
    <w:rsid w:val="008C0A5B"/>
    <w:rsid w:val="008D5585"/>
    <w:rsid w:val="008D6FB1"/>
    <w:rsid w:val="008E2A0F"/>
    <w:rsid w:val="008E3139"/>
    <w:rsid w:val="008E4FCD"/>
    <w:rsid w:val="00900907"/>
    <w:rsid w:val="00915909"/>
    <w:rsid w:val="00947E15"/>
    <w:rsid w:val="0096640D"/>
    <w:rsid w:val="009927F0"/>
    <w:rsid w:val="00993CEF"/>
    <w:rsid w:val="009A58F8"/>
    <w:rsid w:val="009C1065"/>
    <w:rsid w:val="009D79C1"/>
    <w:rsid w:val="00A11C66"/>
    <w:rsid w:val="00A52536"/>
    <w:rsid w:val="00A644F2"/>
    <w:rsid w:val="00A80282"/>
    <w:rsid w:val="00A81E54"/>
    <w:rsid w:val="00AB5150"/>
    <w:rsid w:val="00AD593D"/>
    <w:rsid w:val="00B14516"/>
    <w:rsid w:val="00B34648"/>
    <w:rsid w:val="00B45AB8"/>
    <w:rsid w:val="00B73ED1"/>
    <w:rsid w:val="00B7455C"/>
    <w:rsid w:val="00B74DEE"/>
    <w:rsid w:val="00BD4C15"/>
    <w:rsid w:val="00C800DE"/>
    <w:rsid w:val="00C86A93"/>
    <w:rsid w:val="00CA7A45"/>
    <w:rsid w:val="00CC2F03"/>
    <w:rsid w:val="00D00354"/>
    <w:rsid w:val="00D01DC4"/>
    <w:rsid w:val="00D02C7A"/>
    <w:rsid w:val="00D11C6E"/>
    <w:rsid w:val="00D40FCE"/>
    <w:rsid w:val="00D61829"/>
    <w:rsid w:val="00D815A1"/>
    <w:rsid w:val="00D87A9C"/>
    <w:rsid w:val="00DB7173"/>
    <w:rsid w:val="00DE73A8"/>
    <w:rsid w:val="00E01FF7"/>
    <w:rsid w:val="00E10FFB"/>
    <w:rsid w:val="00E13770"/>
    <w:rsid w:val="00EE5A78"/>
    <w:rsid w:val="00F013F0"/>
    <w:rsid w:val="00F07020"/>
    <w:rsid w:val="00F272BB"/>
    <w:rsid w:val="00F33ADA"/>
    <w:rsid w:val="00F60E9A"/>
    <w:rsid w:val="00FD4736"/>
    <w:rsid w:val="00FE37DE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23385"/>
  <w15:docId w15:val="{B12C5B69-0DC8-42E7-99BF-73E82B91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486"/>
    <w:pPr>
      <w:keepNext/>
      <w:keepLines/>
      <w:spacing w:after="0" w:line="240" w:lineRule="auto"/>
      <w:outlineLvl w:val="0"/>
    </w:pPr>
    <w:rPr>
      <w:rFonts w:ascii="Calibri" w:eastAsiaTheme="majorEastAsia" w:hAnsi="Calibri" w:cstheme="majorBidi"/>
      <w:b/>
      <w:bCs/>
      <w:color w:val="C45911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B94"/>
    <w:pPr>
      <w:keepNext/>
      <w:keepLines/>
      <w:spacing w:after="0"/>
      <w:outlineLvl w:val="1"/>
    </w:pPr>
    <w:rPr>
      <w:rFonts w:ascii="Calibri" w:eastAsiaTheme="majorEastAsia" w:hAnsi="Calibri" w:cstheme="majorBidi"/>
      <w:bCs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02448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ListParagraph">
    <w:name w:val="List Paragraph"/>
    <w:aliases w:val="MAIN CONTENT,List Paragraph12,Colorful List - Accent 11,List Paragraph2,Normal numbered,List Paragraph11,OBC Bullet,F5 List Paragraph,List Paragraph1,Dot pt,No Spacing1,List Paragraph Char Char Char,Indicator Text,Numbered Para 1,L,Bullet"/>
    <w:basedOn w:val="Normal"/>
    <w:link w:val="ListParagraphChar"/>
    <w:uiPriority w:val="34"/>
    <w:qFormat/>
    <w:rsid w:val="000244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486"/>
    <w:rPr>
      <w:rFonts w:ascii="Calibri" w:eastAsiaTheme="majorEastAsia" w:hAnsi="Calibri" w:cstheme="majorBidi"/>
      <w:b/>
      <w:bCs/>
      <w:color w:val="C45911" w:themeColor="accent2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2B94"/>
    <w:rPr>
      <w:rFonts w:ascii="Calibri" w:eastAsiaTheme="majorEastAsia" w:hAnsi="Calibri" w:cstheme="majorBidi"/>
      <w:bCs/>
      <w:color w:val="C45911" w:themeColor="accent2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B94"/>
    <w:pPr>
      <w:spacing w:before="480" w:line="276" w:lineRule="auto"/>
      <w:outlineLvl w:val="9"/>
    </w:pPr>
    <w:rPr>
      <w:rFonts w:asciiTheme="majorHAnsi" w:hAnsiTheme="majorHAnsi"/>
      <w:color w:val="2E74B5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92B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2B9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692B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13C0"/>
    <w:pPr>
      <w:tabs>
        <w:tab w:val="center" w:pos="4153"/>
        <w:tab w:val="right" w:pos="8306"/>
      </w:tabs>
      <w:spacing w:after="0" w:line="240" w:lineRule="auto"/>
    </w:pPr>
    <w:rPr>
      <w:rFonts w:ascii="Humnst777 BT" w:eastAsia="Times New Roman" w:hAnsi="Humnst777 BT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413C0"/>
    <w:rPr>
      <w:rFonts w:ascii="Humnst777 BT" w:eastAsia="Times New Roman" w:hAnsi="Humnst777 BT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80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DE"/>
  </w:style>
  <w:style w:type="character" w:styleId="CommentReference">
    <w:name w:val="annotation reference"/>
    <w:basedOn w:val="DefaultParagraphFont"/>
    <w:uiPriority w:val="99"/>
    <w:semiHidden/>
    <w:unhideWhenUsed/>
    <w:rsid w:val="0043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2C8"/>
    <w:rPr>
      <w:b/>
      <w:bCs/>
      <w:sz w:val="20"/>
      <w:szCs w:val="20"/>
    </w:rPr>
  </w:style>
  <w:style w:type="character" w:customStyle="1" w:styleId="ListParagraphChar">
    <w:name w:val="List Paragraph Char"/>
    <w:aliases w:val="MAIN CONTENT Char,List Paragraph12 Char,Colorful List - Accent 11 Char,List Paragraph2 Char,Normal numbered Char,List Paragraph11 Char,OBC Bullet Char,F5 List Paragraph Char,List Paragraph1 Char,Dot pt Char,No Spacing1 Char,L Char"/>
    <w:basedOn w:val="DefaultParagraphFont"/>
    <w:link w:val="ListParagraph"/>
    <w:uiPriority w:val="34"/>
    <w:rsid w:val="00015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cu.canterbury.ac.uk/strategic-framework/strategic-framewor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E98D-C55B-48F4-A6F3-7BAFD9BA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rh119</dc:creator>
  <cp:lastModifiedBy>Collins, Suzanne (suzanne.collins@canterbury.ac.uk)</cp:lastModifiedBy>
  <cp:revision>20</cp:revision>
  <cp:lastPrinted>2016-06-23T08:40:00Z</cp:lastPrinted>
  <dcterms:created xsi:type="dcterms:W3CDTF">2019-12-19T09:43:00Z</dcterms:created>
  <dcterms:modified xsi:type="dcterms:W3CDTF">2020-12-04T12:04:00Z</dcterms:modified>
</cp:coreProperties>
</file>