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56074" w14:textId="77777777" w:rsidR="00A60B91" w:rsidRDefault="00A60B91" w:rsidP="00A07C54">
      <w:pPr>
        <w:rPr>
          <w:rFonts w:ascii="Humnst777 Lt BT" w:hAnsi="Humnst777 Lt BT"/>
          <w:b/>
        </w:rPr>
      </w:pPr>
      <w:r>
        <w:rPr>
          <w:rFonts w:ascii="Humnst777 Lt BT" w:hAnsi="Humnst777 Lt BT"/>
          <w:b/>
        </w:rPr>
        <w:t xml:space="preserve">      </w:t>
      </w:r>
    </w:p>
    <w:p w14:paraId="2F7A13DC" w14:textId="2C7C5E5F" w:rsidR="00A07C54" w:rsidRPr="00A07C54" w:rsidRDefault="002B04A8" w:rsidP="00A07C54">
      <w:pPr>
        <w:pBdr>
          <w:top w:val="single" w:sz="4" w:space="3" w:color="233289"/>
          <w:left w:val="single" w:sz="4" w:space="4" w:color="233289"/>
          <w:bottom w:val="single" w:sz="4" w:space="3" w:color="233289"/>
          <w:right w:val="single" w:sz="4" w:space="4" w:color="233289"/>
        </w:pBdr>
        <w:jc w:val="center"/>
        <w:rPr>
          <w:rFonts w:ascii="Humnst777 BT" w:hAnsi="Humnst777 BT"/>
          <w:b/>
          <w:sz w:val="28"/>
          <w:szCs w:val="28"/>
        </w:rPr>
      </w:pPr>
      <w:r>
        <w:rPr>
          <w:rFonts w:ascii="Humnst777 BT" w:hAnsi="Humnst777 BT"/>
          <w:b/>
          <w:color w:val="233289"/>
          <w:sz w:val="28"/>
          <w:szCs w:val="28"/>
        </w:rPr>
        <w:t>PROFESSIONAL SERVICE ANNUAL MONITORING REPORT</w:t>
      </w:r>
    </w:p>
    <w:p w14:paraId="77650D1D" w14:textId="77777777" w:rsidR="00A60B91" w:rsidRDefault="00A60B91" w:rsidP="002B04A8">
      <w:pPr>
        <w:rPr>
          <w:rFonts w:ascii="Humnst777 Lt BT" w:hAnsi="Humnst777 Lt BT"/>
          <w:b/>
        </w:rPr>
      </w:pPr>
    </w:p>
    <w:p w14:paraId="7AB504D9" w14:textId="587D3800" w:rsidR="00A60B91" w:rsidRPr="006A2576" w:rsidRDefault="00A60B91" w:rsidP="00A60B91">
      <w:pPr>
        <w:jc w:val="center"/>
        <w:rPr>
          <w:rFonts w:ascii="Humnst777 Lt BT" w:hAnsi="Humnst777 Lt BT"/>
          <w:b/>
        </w:rPr>
      </w:pPr>
      <w:r>
        <w:rPr>
          <w:rFonts w:ascii="Humnst777 Lt BT" w:hAnsi="Humnst777 Lt BT"/>
          <w:b/>
        </w:rPr>
        <w:t xml:space="preserve">Reporting on Year </w:t>
      </w:r>
      <w:r w:rsidRPr="006A2576">
        <w:rPr>
          <w:rFonts w:ascii="Humnst777 Lt BT" w:hAnsi="Humnst777 Lt BT"/>
          <w:b/>
        </w:rPr>
        <w:t>20</w:t>
      </w:r>
      <w:r w:rsidR="00597DA2">
        <w:rPr>
          <w:rFonts w:ascii="Humnst777 Lt BT" w:hAnsi="Humnst777 Lt BT"/>
          <w:b/>
        </w:rPr>
        <w:t xml:space="preserve">18-19 </w:t>
      </w:r>
      <w:r w:rsidRPr="006A2576">
        <w:rPr>
          <w:rFonts w:ascii="Humnst777 Lt BT" w:hAnsi="Humnst777 Lt BT"/>
          <w:b/>
        </w:rPr>
        <w:t xml:space="preserve">(completed in </w:t>
      </w:r>
      <w:r w:rsidR="00597DA2" w:rsidRPr="006A2576">
        <w:rPr>
          <w:rFonts w:ascii="Humnst777 Lt BT" w:hAnsi="Humnst777 Lt BT"/>
          <w:b/>
        </w:rPr>
        <w:t>201</w:t>
      </w:r>
      <w:r w:rsidR="00597DA2">
        <w:rPr>
          <w:rFonts w:ascii="Humnst777 Lt BT" w:hAnsi="Humnst777 Lt BT"/>
          <w:b/>
        </w:rPr>
        <w:t>9</w:t>
      </w:r>
      <w:r w:rsidRPr="006A2576">
        <w:rPr>
          <w:rFonts w:ascii="Humnst777 Lt BT" w:hAnsi="Humnst777 Lt BT"/>
          <w:b/>
        </w:rPr>
        <w:t xml:space="preserve">)  </w:t>
      </w:r>
    </w:p>
    <w:p w14:paraId="0D87E7A8" w14:textId="77777777" w:rsidR="00A60B91" w:rsidRPr="006A2576" w:rsidRDefault="00A60B91" w:rsidP="00A60B91">
      <w:pPr>
        <w:rPr>
          <w:rFonts w:ascii="Humnst777 Lt BT" w:eastAsia="Humnst777 Lt BT" w:hAnsi="Humnst777 Lt BT" w:cs="Humnst777 Lt BT"/>
          <w:b/>
        </w:rPr>
      </w:pPr>
    </w:p>
    <w:tbl>
      <w:tblPr>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688"/>
      </w:tblGrid>
      <w:tr w:rsidR="006A2576" w:rsidRPr="006A2576" w14:paraId="73ECDB9F" w14:textId="77777777" w:rsidTr="00A07C54">
        <w:trPr>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hideMark/>
          </w:tcPr>
          <w:p w14:paraId="31CEBE05" w14:textId="77777777" w:rsidR="00A60B91" w:rsidRPr="006A2576" w:rsidRDefault="00A60B91" w:rsidP="000661C4">
            <w:pPr>
              <w:rPr>
                <w:rFonts w:ascii="Humnst777 Lt BT" w:eastAsia="Humnst777 Lt BT" w:hAnsi="Humnst777 Lt BT" w:cs="Humnst777 Lt BT"/>
                <w:b/>
                <w:sz w:val="22"/>
                <w:szCs w:val="22"/>
                <w:lang w:eastAsia="en-GB"/>
              </w:rPr>
            </w:pPr>
            <w:r w:rsidRPr="006A2576">
              <w:rPr>
                <w:rFonts w:ascii="Humnst777 Lt BT" w:eastAsia="Humnst777 Lt BT" w:hAnsi="Humnst777 Lt BT" w:cs="Humnst777 Lt BT"/>
                <w:b/>
                <w:lang w:eastAsia="en-GB"/>
              </w:rPr>
              <w:t xml:space="preserve">Department Name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35CA32D" w14:textId="77777777" w:rsidR="00A60B91" w:rsidRPr="006A2576" w:rsidRDefault="00A60B91" w:rsidP="000661C4">
            <w:pPr>
              <w:rPr>
                <w:rFonts w:ascii="Humnst777 Lt BT" w:eastAsia="Humnst777 Lt BT" w:hAnsi="Humnst777 Lt BT" w:cs="Humnst777 Lt BT"/>
                <w:lang w:eastAsia="en-GB"/>
              </w:rPr>
            </w:pPr>
          </w:p>
        </w:tc>
      </w:tr>
      <w:tr w:rsidR="006A2576" w:rsidRPr="006A2576" w14:paraId="43B6C932" w14:textId="77777777" w:rsidTr="00A07C54">
        <w:trPr>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hideMark/>
          </w:tcPr>
          <w:p w14:paraId="60B260A4" w14:textId="77777777" w:rsidR="00A60B91" w:rsidRPr="006A2576" w:rsidRDefault="00A60B91" w:rsidP="000661C4">
            <w:pPr>
              <w:rPr>
                <w:rFonts w:ascii="Humnst777 Lt BT" w:eastAsia="Humnst777 Lt BT" w:hAnsi="Humnst777 Lt BT" w:cs="Humnst777 Lt BT"/>
                <w:b/>
                <w:lang w:eastAsia="en-GB"/>
              </w:rPr>
            </w:pPr>
            <w:r w:rsidRPr="006A2576">
              <w:rPr>
                <w:rFonts w:ascii="Humnst777 Lt BT" w:eastAsia="Humnst777 Lt BT" w:hAnsi="Humnst777 Lt BT" w:cs="Humnst777 Lt BT"/>
                <w:b/>
                <w:lang w:eastAsia="en-GB"/>
              </w:rPr>
              <w:t>Author(s) of this report</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632536A" w14:textId="77777777" w:rsidR="00A60B91" w:rsidRPr="006A2576" w:rsidRDefault="00A60B91" w:rsidP="000661C4">
            <w:pPr>
              <w:rPr>
                <w:rFonts w:ascii="Humnst777 Lt BT" w:eastAsia="Humnst777 Lt BT" w:hAnsi="Humnst777 Lt BT" w:cs="Humnst777 Lt BT"/>
                <w:lang w:eastAsia="en-GB"/>
              </w:rPr>
            </w:pPr>
          </w:p>
        </w:tc>
      </w:tr>
      <w:tr w:rsidR="006A2576" w:rsidRPr="006A2576" w14:paraId="19AEDD93" w14:textId="77777777" w:rsidTr="00A07C54">
        <w:trPr>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56516C23" w14:textId="77777777" w:rsidR="00A60B91" w:rsidRPr="006A2576" w:rsidRDefault="00A60B91" w:rsidP="000661C4">
            <w:pPr>
              <w:rPr>
                <w:rFonts w:ascii="Humnst777 Lt BT" w:eastAsia="Humnst777 Lt BT" w:hAnsi="Humnst777 Lt BT" w:cs="Humnst777 Lt BT"/>
                <w:b/>
                <w:lang w:eastAsia="en-GB"/>
              </w:rPr>
            </w:pPr>
            <w:r w:rsidRPr="006A2576">
              <w:rPr>
                <w:rFonts w:ascii="Humnst777 Lt BT" w:eastAsia="Humnst777 Lt BT" w:hAnsi="Humnst777 Lt BT" w:cs="Humnst777 Lt BT"/>
                <w:b/>
                <w:lang w:eastAsia="en-GB"/>
              </w:rPr>
              <w:t>Date of Completion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CAE66EA" w14:textId="77777777" w:rsidR="00A60B91" w:rsidRPr="006A2576" w:rsidRDefault="00A60B91" w:rsidP="000661C4">
            <w:pPr>
              <w:jc w:val="center"/>
              <w:rPr>
                <w:rFonts w:ascii="Humnst777 Lt BT" w:eastAsia="Humnst777 Lt BT" w:hAnsi="Humnst777 Lt BT" w:cs="Humnst777 Lt BT"/>
                <w:lang w:eastAsia="en-GB"/>
              </w:rPr>
            </w:pPr>
          </w:p>
        </w:tc>
      </w:tr>
      <w:tr w:rsidR="006A2576" w:rsidRPr="006A2576" w14:paraId="1F5A9609" w14:textId="77777777" w:rsidTr="00A07C54">
        <w:trPr>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hideMark/>
          </w:tcPr>
          <w:p w14:paraId="64771D94" w14:textId="77777777" w:rsidR="00A60B91" w:rsidRPr="006A2576" w:rsidRDefault="00A60B91" w:rsidP="000661C4">
            <w:pPr>
              <w:rPr>
                <w:rFonts w:ascii="Humnst777 Lt BT" w:eastAsia="Humnst777 Lt BT" w:hAnsi="Humnst777 Lt BT" w:cs="Humnst777 Lt BT"/>
                <w:b/>
                <w:lang w:eastAsia="en-GB"/>
              </w:rPr>
            </w:pPr>
            <w:r w:rsidRPr="006A2576">
              <w:rPr>
                <w:rFonts w:ascii="Humnst777 Lt BT" w:eastAsia="Humnst777 Lt BT" w:hAnsi="Humnst777 Lt BT" w:cs="Humnst777 Lt BT"/>
                <w:b/>
                <w:lang w:eastAsia="en-GB"/>
              </w:rPr>
              <w:t>SMT Member Approval</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8B6940D" w14:textId="77777777" w:rsidR="00A60B91" w:rsidRPr="006A2576" w:rsidRDefault="00A60B91" w:rsidP="000661C4">
            <w:pPr>
              <w:rPr>
                <w:rFonts w:ascii="Humnst777 Lt BT" w:eastAsia="Humnst777 Lt BT" w:hAnsi="Humnst777 Lt BT" w:cs="Humnst777 Lt BT"/>
                <w:lang w:eastAsia="en-GB"/>
              </w:rPr>
            </w:pPr>
          </w:p>
        </w:tc>
      </w:tr>
      <w:tr w:rsidR="006A2576" w:rsidRPr="006A2576" w14:paraId="0B556D5E" w14:textId="77777777" w:rsidTr="00A07C54">
        <w:trPr>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hideMark/>
          </w:tcPr>
          <w:p w14:paraId="713A8C8A" w14:textId="77777777" w:rsidR="00A60B91" w:rsidRPr="006A2576" w:rsidRDefault="00A60B91" w:rsidP="000661C4">
            <w:pPr>
              <w:rPr>
                <w:rFonts w:ascii="Humnst777 Lt BT" w:eastAsia="Humnst777 Lt BT" w:hAnsi="Humnst777 Lt BT" w:cs="Humnst777 Lt BT"/>
                <w:b/>
                <w:lang w:eastAsia="en-GB"/>
              </w:rPr>
            </w:pPr>
            <w:r w:rsidRPr="006A2576">
              <w:rPr>
                <w:rFonts w:ascii="Humnst777 Lt BT" w:eastAsia="Humnst777 Lt BT" w:hAnsi="Humnst777 Lt BT" w:cs="Humnst777 Lt BT"/>
                <w:b/>
                <w:lang w:eastAsia="en-GB"/>
              </w:rPr>
              <w:t>Date of SMT Member Approval</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E2E8FF4" w14:textId="77777777" w:rsidR="00A60B91" w:rsidRPr="006A2576" w:rsidRDefault="00A60B91" w:rsidP="000661C4">
            <w:pPr>
              <w:rPr>
                <w:rFonts w:ascii="Humnst777 Lt BT" w:eastAsia="Humnst777 Lt BT" w:hAnsi="Humnst777 Lt BT" w:cs="Humnst777 Lt BT"/>
                <w:lang w:eastAsia="en-GB"/>
              </w:rPr>
            </w:pPr>
          </w:p>
        </w:tc>
      </w:tr>
    </w:tbl>
    <w:p w14:paraId="39F65224" w14:textId="77777777" w:rsidR="00A60B91" w:rsidRPr="006A2576" w:rsidRDefault="00A60B91" w:rsidP="00A60B91">
      <w:pPr>
        <w:spacing w:after="160" w:line="259" w:lineRule="auto"/>
        <w:rPr>
          <w:rFonts w:ascii="Humnst777 Lt BT" w:hAnsi="Humnst777 Lt BT"/>
          <w:b/>
          <w:i/>
        </w:rPr>
      </w:pPr>
    </w:p>
    <w:p w14:paraId="39B9FBE1" w14:textId="77777777" w:rsidR="00B71BAB" w:rsidRPr="00541C83" w:rsidRDefault="00B71BAB" w:rsidP="001F0BEA">
      <w:pPr>
        <w:jc w:val="center"/>
        <w:rPr>
          <w:rFonts w:ascii="Humnst777 Lt BT" w:hAnsi="Humnst777 Lt BT"/>
          <w:b/>
        </w:rPr>
      </w:pPr>
      <w:r w:rsidRPr="00541C83">
        <w:rPr>
          <w:rFonts w:ascii="Humnst777 Lt BT" w:hAnsi="Humnst777 Lt BT"/>
          <w:b/>
        </w:rPr>
        <w:t>Timelines:</w:t>
      </w:r>
    </w:p>
    <w:p w14:paraId="76F0B0EE" w14:textId="6B84B347" w:rsidR="00541C83" w:rsidRPr="00541C83" w:rsidRDefault="00263F13" w:rsidP="00541C83">
      <w:pPr>
        <w:pStyle w:val="ListParagraph"/>
        <w:numPr>
          <w:ilvl w:val="0"/>
          <w:numId w:val="4"/>
        </w:numPr>
        <w:spacing w:line="276" w:lineRule="auto"/>
        <w:contextualSpacing/>
        <w:rPr>
          <w:rFonts w:ascii="Humnst777 Lt BT" w:hAnsi="Humnst777 Lt BT"/>
        </w:rPr>
      </w:pPr>
      <w:r>
        <w:rPr>
          <w:rFonts w:ascii="Humnst777 Lt BT" w:hAnsi="Humnst777 Lt BT"/>
        </w:rPr>
        <w:t>October</w:t>
      </w:r>
      <w:r w:rsidRPr="00541C83">
        <w:rPr>
          <w:rFonts w:ascii="Humnst777 Lt BT" w:hAnsi="Humnst777 Lt BT"/>
        </w:rPr>
        <w:t xml:space="preserve"> </w:t>
      </w:r>
      <w:r w:rsidR="00541C83" w:rsidRPr="00541C83">
        <w:rPr>
          <w:rFonts w:ascii="Humnst777 Lt BT" w:hAnsi="Humnst777 Lt BT"/>
        </w:rPr>
        <w:t xml:space="preserve">– </w:t>
      </w:r>
      <w:r>
        <w:rPr>
          <w:rFonts w:ascii="Humnst777 Lt BT" w:hAnsi="Humnst777 Lt BT"/>
        </w:rPr>
        <w:t>early</w:t>
      </w:r>
      <w:r w:rsidR="00541C83" w:rsidRPr="00541C83">
        <w:rPr>
          <w:rFonts w:ascii="Humnst777 Lt BT" w:hAnsi="Humnst777 Lt BT"/>
        </w:rPr>
        <w:t>-</w:t>
      </w:r>
      <w:r>
        <w:rPr>
          <w:rFonts w:ascii="Humnst777 Lt BT" w:hAnsi="Humnst777 Lt BT"/>
        </w:rPr>
        <w:t>January</w:t>
      </w:r>
      <w:r w:rsidRPr="00541C83">
        <w:rPr>
          <w:rFonts w:ascii="Humnst777 Lt BT" w:hAnsi="Humnst777 Lt BT"/>
        </w:rPr>
        <w:t xml:space="preserve"> </w:t>
      </w:r>
      <w:r w:rsidR="00541C83" w:rsidRPr="00541C83">
        <w:rPr>
          <w:rFonts w:ascii="Humnst777 Lt BT" w:hAnsi="Humnst777 Lt BT"/>
        </w:rPr>
        <w:t>20</w:t>
      </w:r>
      <w:r w:rsidR="00541C83">
        <w:rPr>
          <w:rFonts w:ascii="Humnst777 Lt BT" w:hAnsi="Humnst777 Lt BT"/>
        </w:rPr>
        <w:t>19</w:t>
      </w:r>
      <w:r w:rsidR="00541C83" w:rsidRPr="00541C83">
        <w:rPr>
          <w:rFonts w:ascii="Humnst777 Lt BT" w:hAnsi="Humnst777 Lt BT"/>
        </w:rPr>
        <w:t>: Production of report at departmental level and approval by SMT Lead.</w:t>
      </w:r>
    </w:p>
    <w:p w14:paraId="0AC08D2E" w14:textId="09E374A7" w:rsidR="00541C83" w:rsidRPr="00541C83" w:rsidRDefault="00263F13" w:rsidP="00541C83">
      <w:pPr>
        <w:pStyle w:val="ListParagraph"/>
        <w:numPr>
          <w:ilvl w:val="0"/>
          <w:numId w:val="4"/>
        </w:numPr>
        <w:spacing w:line="276" w:lineRule="auto"/>
        <w:contextualSpacing/>
        <w:rPr>
          <w:rFonts w:ascii="Humnst777 Lt BT" w:hAnsi="Humnst777 Lt BT"/>
        </w:rPr>
      </w:pPr>
      <w:r>
        <w:rPr>
          <w:rFonts w:ascii="Humnst777 Lt BT" w:hAnsi="Humnst777 Lt BT"/>
        </w:rPr>
        <w:t>10 January 2020</w:t>
      </w:r>
      <w:r w:rsidR="00541C83" w:rsidRPr="00541C83">
        <w:rPr>
          <w:rFonts w:ascii="Humnst777 Lt BT" w:hAnsi="Humnst777 Lt BT"/>
        </w:rPr>
        <w:t>: reports to be submitted to the Quality and Standards Office</w:t>
      </w:r>
    </w:p>
    <w:p w14:paraId="17F4D4C9" w14:textId="371458EE" w:rsidR="00541C83" w:rsidRPr="00541C83" w:rsidRDefault="00056B06" w:rsidP="00541C83">
      <w:pPr>
        <w:pStyle w:val="ListParagraph"/>
        <w:numPr>
          <w:ilvl w:val="0"/>
          <w:numId w:val="4"/>
        </w:numPr>
        <w:spacing w:line="276" w:lineRule="auto"/>
        <w:contextualSpacing/>
        <w:rPr>
          <w:rFonts w:ascii="Humnst777 Lt BT" w:hAnsi="Humnst777 Lt BT"/>
        </w:rPr>
      </w:pPr>
      <w:r>
        <w:rPr>
          <w:rFonts w:ascii="Humnst777 Lt BT" w:hAnsi="Humnst777 Lt BT"/>
        </w:rPr>
        <w:t>Mid-</w:t>
      </w:r>
      <w:r w:rsidR="00BD55B1">
        <w:rPr>
          <w:rFonts w:ascii="Humnst777 Lt BT" w:hAnsi="Humnst777 Lt BT"/>
        </w:rPr>
        <w:t>January</w:t>
      </w:r>
      <w:r w:rsidR="00BD55B1" w:rsidRPr="00541C83">
        <w:rPr>
          <w:rFonts w:ascii="Humnst777 Lt BT" w:hAnsi="Humnst777 Lt BT"/>
        </w:rPr>
        <w:t xml:space="preserve"> </w:t>
      </w:r>
      <w:r w:rsidR="00541C83" w:rsidRPr="00541C83">
        <w:rPr>
          <w:rFonts w:ascii="Humnst777 Lt BT" w:hAnsi="Humnst777 Lt BT"/>
        </w:rPr>
        <w:t>2020 (tbc): Professional Services Quality Committee (to consider all reports)</w:t>
      </w:r>
    </w:p>
    <w:p w14:paraId="2693E9E7" w14:textId="18853898" w:rsidR="00541C83" w:rsidRPr="006A2576" w:rsidRDefault="00056B06" w:rsidP="00541C83">
      <w:pPr>
        <w:pStyle w:val="ListParagraph"/>
        <w:numPr>
          <w:ilvl w:val="0"/>
          <w:numId w:val="4"/>
        </w:numPr>
        <w:spacing w:line="276" w:lineRule="auto"/>
        <w:contextualSpacing/>
        <w:rPr>
          <w:rFonts w:ascii="Humnst777 Lt BT" w:hAnsi="Humnst777 Lt BT"/>
        </w:rPr>
      </w:pPr>
      <w:r>
        <w:rPr>
          <w:rFonts w:ascii="Humnst777 Lt BT" w:hAnsi="Humnst777 Lt BT"/>
        </w:rPr>
        <w:t xml:space="preserve">5 </w:t>
      </w:r>
      <w:r w:rsidR="00BD55B1">
        <w:rPr>
          <w:rFonts w:ascii="Humnst777 Lt BT" w:hAnsi="Humnst777 Lt BT"/>
        </w:rPr>
        <w:t>February</w:t>
      </w:r>
      <w:r w:rsidR="00541C83">
        <w:rPr>
          <w:rFonts w:ascii="Humnst777 Lt BT" w:hAnsi="Humnst777 Lt BT"/>
        </w:rPr>
        <w:t xml:space="preserve"> 2020</w:t>
      </w:r>
      <w:r w:rsidR="00541C83" w:rsidRPr="006A2576">
        <w:rPr>
          <w:rFonts w:ascii="Humnst777 Lt BT" w:hAnsi="Humnst777 Lt BT"/>
        </w:rPr>
        <w:t>: Quality Monitoring &amp; Review Sub-Committee (to consider Overview from the Professional Services Quality Committee)</w:t>
      </w:r>
    </w:p>
    <w:p w14:paraId="13811651" w14:textId="52CB6014" w:rsidR="00541C83" w:rsidRPr="00ED7E39" w:rsidRDefault="00056B06" w:rsidP="00541C83">
      <w:pPr>
        <w:pStyle w:val="ListParagraph"/>
        <w:numPr>
          <w:ilvl w:val="0"/>
          <w:numId w:val="4"/>
        </w:numPr>
        <w:spacing w:line="276" w:lineRule="auto"/>
        <w:contextualSpacing/>
        <w:rPr>
          <w:rFonts w:ascii="Humnst777 Lt BT" w:hAnsi="Humnst777 Lt BT"/>
        </w:rPr>
      </w:pPr>
      <w:r>
        <w:rPr>
          <w:rFonts w:ascii="Humnst777 Lt BT" w:hAnsi="Humnst777 Lt BT"/>
        </w:rPr>
        <w:t xml:space="preserve">4 </w:t>
      </w:r>
      <w:r w:rsidR="00BD55B1">
        <w:rPr>
          <w:rFonts w:ascii="Humnst777 Lt BT" w:hAnsi="Humnst777 Lt BT"/>
        </w:rPr>
        <w:t xml:space="preserve">March </w:t>
      </w:r>
      <w:r w:rsidR="00541C83">
        <w:rPr>
          <w:rFonts w:ascii="Humnst777 Lt BT" w:hAnsi="Humnst777 Lt BT"/>
        </w:rPr>
        <w:t>2020</w:t>
      </w:r>
      <w:r w:rsidR="00541C83" w:rsidRPr="006A2576">
        <w:rPr>
          <w:rFonts w:ascii="Humnst777 Lt BT" w:hAnsi="Humnst777 Lt BT"/>
        </w:rPr>
        <w:t>: Education and Student Experience Committee (to consider report from the Quality Monitoring &amp; Review Sub-Committee on professional s</w:t>
      </w:r>
      <w:r w:rsidR="00541C83">
        <w:rPr>
          <w:rFonts w:ascii="Humnst777 Lt BT" w:hAnsi="Humnst777 Lt BT"/>
        </w:rPr>
        <w:t>ervice areas annual monitoring high-level outcomes</w:t>
      </w:r>
      <w:r w:rsidR="00541C83" w:rsidRPr="00ED7E39">
        <w:rPr>
          <w:rFonts w:ascii="Humnst777 Lt BT" w:hAnsi="Humnst777 Lt BT"/>
        </w:rPr>
        <w:t>)</w:t>
      </w:r>
    </w:p>
    <w:p w14:paraId="01124EF5" w14:textId="77777777" w:rsidR="00A60B91" w:rsidRDefault="00A60B91" w:rsidP="00A60B91">
      <w:pPr>
        <w:spacing w:after="160" w:line="259" w:lineRule="auto"/>
        <w:rPr>
          <w:rFonts w:ascii="Humnst777 Lt BT" w:hAnsi="Humnst777 Lt BT"/>
          <w:b/>
          <w:i/>
        </w:rPr>
      </w:pPr>
    </w:p>
    <w:p w14:paraId="2A00D7AD" w14:textId="77777777" w:rsidR="00A07C54" w:rsidRDefault="00A07C54" w:rsidP="00A60B91">
      <w:pPr>
        <w:spacing w:after="160" w:line="259" w:lineRule="auto"/>
        <w:rPr>
          <w:rFonts w:ascii="Humnst777 Lt BT" w:hAnsi="Humnst777 Lt BT"/>
          <w:b/>
          <w:i/>
        </w:rPr>
      </w:pPr>
    </w:p>
    <w:p w14:paraId="58F9691C" w14:textId="77777777" w:rsidR="002B04A8" w:rsidRDefault="002B04A8" w:rsidP="00A73D72">
      <w:r>
        <w:br w:type="page"/>
      </w:r>
    </w:p>
    <w:p w14:paraId="366BC799" w14:textId="3A3D33CF" w:rsidR="00A60B91" w:rsidRPr="00C77F6B" w:rsidRDefault="00A07C54" w:rsidP="00A60B91">
      <w:pPr>
        <w:spacing w:after="160" w:line="259" w:lineRule="auto"/>
        <w:rPr>
          <w:rFonts w:ascii="Humnst777 Lt BT" w:hAnsi="Humnst777 Lt BT"/>
          <w:i/>
        </w:rPr>
      </w:pPr>
      <w:r w:rsidRPr="00A07C54">
        <w:rPr>
          <w:rFonts w:ascii="Humnst777 Lt BT" w:hAnsi="Humnst777 Lt BT"/>
          <w:b/>
          <w:sz w:val="28"/>
          <w:szCs w:val="28"/>
        </w:rPr>
        <w:lastRenderedPageBreak/>
        <w:t>GUIDANCE NOTES</w:t>
      </w:r>
      <w:r w:rsidR="00A60B91" w:rsidRPr="00C77F6B">
        <w:rPr>
          <w:rFonts w:ascii="Humnst777 Lt BT" w:hAnsi="Humnst777 Lt BT"/>
          <w:b/>
          <w:i/>
        </w:rPr>
        <w:t xml:space="preserve"> </w:t>
      </w:r>
      <w:r w:rsidR="00A60B91" w:rsidRPr="00A07C54">
        <w:rPr>
          <w:rFonts w:ascii="Humnst777 Lt BT" w:hAnsi="Humnst777 Lt BT"/>
          <w:i/>
          <w:color w:val="0070C0"/>
        </w:rPr>
        <w:t>(please delete all guidance notes (in italics) prior to submission)</w:t>
      </w:r>
    </w:p>
    <w:p w14:paraId="5FD51412" w14:textId="07CF529A" w:rsidR="00A60B91" w:rsidRDefault="00A60B91" w:rsidP="00767F71">
      <w:pPr>
        <w:pStyle w:val="ListParagraph"/>
        <w:numPr>
          <w:ilvl w:val="0"/>
          <w:numId w:val="1"/>
        </w:numPr>
        <w:spacing w:after="200" w:line="276" w:lineRule="auto"/>
        <w:ind w:left="567" w:hanging="567"/>
        <w:contextualSpacing/>
        <w:rPr>
          <w:rFonts w:ascii="Humnst777 Lt BT" w:hAnsi="Humnst777 Lt BT"/>
          <w:i/>
        </w:rPr>
      </w:pPr>
      <w:r w:rsidRPr="00C77F6B">
        <w:rPr>
          <w:rFonts w:ascii="Humnst777 Lt BT" w:hAnsi="Humnst777 Lt BT"/>
          <w:i/>
        </w:rPr>
        <w:t>A</w:t>
      </w:r>
      <w:r>
        <w:rPr>
          <w:rFonts w:ascii="Humnst777 Lt BT" w:hAnsi="Humnst777 Lt BT"/>
          <w:i/>
        </w:rPr>
        <w:t xml:space="preserve"> Professional Service </w:t>
      </w:r>
      <w:r w:rsidR="009C242A">
        <w:rPr>
          <w:rFonts w:ascii="Humnst777 Lt BT" w:hAnsi="Humnst777 Lt BT"/>
          <w:i/>
        </w:rPr>
        <w:t xml:space="preserve">Annual </w:t>
      </w:r>
      <w:r>
        <w:rPr>
          <w:rFonts w:ascii="Humnst777 Lt BT" w:hAnsi="Humnst777 Lt BT"/>
          <w:i/>
        </w:rPr>
        <w:t>Monitoring</w:t>
      </w:r>
      <w:r w:rsidRPr="00C77F6B">
        <w:rPr>
          <w:rFonts w:ascii="Humnst777 Lt BT" w:hAnsi="Humnst777 Lt BT"/>
          <w:i/>
        </w:rPr>
        <w:t xml:space="preserve"> report should be produced for each </w:t>
      </w:r>
      <w:r>
        <w:rPr>
          <w:rFonts w:ascii="Humnst777 Lt BT" w:hAnsi="Humnst777 Lt BT"/>
          <w:i/>
        </w:rPr>
        <w:t>Professional Service Department</w:t>
      </w:r>
      <w:r w:rsidR="00597DA2">
        <w:rPr>
          <w:rFonts w:ascii="Humnst777 Lt BT" w:hAnsi="Humnst777 Lt BT"/>
          <w:i/>
        </w:rPr>
        <w:t xml:space="preserve"> listed on the QSO website</w:t>
      </w:r>
      <w:r w:rsidR="00C61F9E">
        <w:rPr>
          <w:rFonts w:ascii="Humnst777 Lt BT" w:hAnsi="Humnst777 Lt BT"/>
          <w:i/>
        </w:rPr>
        <w:t xml:space="preserve"> [link to be added]</w:t>
      </w:r>
      <w:r w:rsidRPr="00C77F6B">
        <w:rPr>
          <w:rFonts w:ascii="Humnst777 Lt BT" w:hAnsi="Humnst777 Lt BT"/>
          <w:i/>
        </w:rPr>
        <w:t>.</w:t>
      </w:r>
      <w:r>
        <w:rPr>
          <w:rFonts w:ascii="Humnst777 Lt BT" w:hAnsi="Humnst777 Lt BT"/>
          <w:i/>
        </w:rPr>
        <w:t xml:space="preserve">  </w:t>
      </w:r>
    </w:p>
    <w:p w14:paraId="0C6FD387" w14:textId="6345901E" w:rsidR="00A60B91" w:rsidRPr="00474C56" w:rsidRDefault="00A60B91" w:rsidP="00767F71">
      <w:pPr>
        <w:pStyle w:val="ListParagraph"/>
        <w:numPr>
          <w:ilvl w:val="0"/>
          <w:numId w:val="1"/>
        </w:numPr>
        <w:spacing w:after="200" w:line="276" w:lineRule="auto"/>
        <w:ind w:left="567" w:hanging="567"/>
        <w:contextualSpacing/>
        <w:rPr>
          <w:rFonts w:ascii="Humnst777 Lt BT" w:hAnsi="Humnst777 Lt BT"/>
          <w:i/>
        </w:rPr>
      </w:pPr>
      <w:r w:rsidRPr="00474C56">
        <w:rPr>
          <w:rFonts w:ascii="Humnst777 Lt BT" w:hAnsi="Humnst777 Lt BT"/>
          <w:i/>
        </w:rPr>
        <w:t>The same template is to be used for all professional services</w:t>
      </w:r>
      <w:r w:rsidR="00703160">
        <w:rPr>
          <w:rFonts w:ascii="Humnst777 Lt BT" w:hAnsi="Humnst777 Lt BT"/>
          <w:i/>
        </w:rPr>
        <w:t xml:space="preserve"> listed</w:t>
      </w:r>
      <w:r w:rsidRPr="00474C56">
        <w:rPr>
          <w:rFonts w:ascii="Humnst777 Lt BT" w:hAnsi="Humnst777 Lt BT"/>
          <w:i/>
        </w:rPr>
        <w:t xml:space="preserve">. </w:t>
      </w:r>
    </w:p>
    <w:p w14:paraId="3912A57B" w14:textId="77777777" w:rsidR="00A60B91" w:rsidRPr="00377FDB" w:rsidRDefault="00A60B91" w:rsidP="00767F71">
      <w:pPr>
        <w:pStyle w:val="ListParagraph"/>
        <w:numPr>
          <w:ilvl w:val="0"/>
          <w:numId w:val="1"/>
        </w:numPr>
        <w:spacing w:after="200" w:line="276" w:lineRule="auto"/>
        <w:ind w:left="567" w:hanging="567"/>
        <w:contextualSpacing/>
        <w:rPr>
          <w:rFonts w:ascii="Humnst777 Lt BT" w:hAnsi="Humnst777 Lt BT"/>
          <w:i/>
        </w:rPr>
      </w:pPr>
      <w:r w:rsidRPr="00377FDB">
        <w:rPr>
          <w:rFonts w:ascii="Humnst777 Lt BT" w:hAnsi="Humnst777 Lt BT"/>
          <w:i/>
        </w:rPr>
        <w:t xml:space="preserve">The </w:t>
      </w:r>
      <w:r>
        <w:rPr>
          <w:rFonts w:ascii="Humnst777 Lt BT" w:hAnsi="Humnst777 Lt BT"/>
          <w:i/>
        </w:rPr>
        <w:t>purpose of the Annual Professional Service Monitoring Process is</w:t>
      </w:r>
      <w:r w:rsidRPr="00377FDB">
        <w:rPr>
          <w:rFonts w:ascii="Humnst777 Lt BT" w:hAnsi="Humnst777 Lt BT"/>
          <w:i/>
        </w:rPr>
        <w:t xml:space="preserve"> </w:t>
      </w:r>
      <w:r>
        <w:rPr>
          <w:rFonts w:ascii="Humnst777 Lt BT" w:hAnsi="Humnst777 Lt BT"/>
          <w:i/>
        </w:rPr>
        <w:t>as follows</w:t>
      </w:r>
      <w:r w:rsidRPr="00377FDB">
        <w:rPr>
          <w:rFonts w:ascii="Humnst777 Lt BT" w:hAnsi="Humnst777 Lt BT"/>
          <w:i/>
        </w:rPr>
        <w:t>:</w:t>
      </w:r>
    </w:p>
    <w:p w14:paraId="767FDDAB" w14:textId="371AFEA6" w:rsidR="00703160" w:rsidRPr="00D81935" w:rsidRDefault="00703160" w:rsidP="00767F71">
      <w:pPr>
        <w:pStyle w:val="ListParagraph"/>
        <w:numPr>
          <w:ilvl w:val="1"/>
          <w:numId w:val="1"/>
        </w:numPr>
        <w:spacing w:after="200" w:line="276" w:lineRule="auto"/>
        <w:ind w:left="993" w:hanging="425"/>
        <w:contextualSpacing/>
        <w:rPr>
          <w:rFonts w:ascii="Humnst777 Lt BT" w:hAnsi="Humnst777 Lt BT"/>
          <w:i/>
          <w:strike/>
        </w:rPr>
      </w:pPr>
      <w:r w:rsidRPr="00D81935">
        <w:rPr>
          <w:rFonts w:ascii="Humnst777 Lt BT" w:hAnsi="Humnst777 Lt BT"/>
          <w:i/>
        </w:rPr>
        <w:t xml:space="preserve">To ensure that professional services departments are responding to student feedback from a range of sources in an effort to enhance the student experience; </w:t>
      </w:r>
    </w:p>
    <w:p w14:paraId="45A03E03" w14:textId="4D673DEC" w:rsidR="00A60B91" w:rsidRDefault="00A60B91" w:rsidP="00767F71">
      <w:pPr>
        <w:pStyle w:val="ListParagraph"/>
        <w:numPr>
          <w:ilvl w:val="1"/>
          <w:numId w:val="1"/>
        </w:numPr>
        <w:spacing w:after="200" w:line="276" w:lineRule="auto"/>
        <w:ind w:left="993" w:hanging="425"/>
        <w:contextualSpacing/>
        <w:rPr>
          <w:rFonts w:ascii="Humnst777 Lt BT" w:hAnsi="Humnst777 Lt BT"/>
          <w:i/>
        </w:rPr>
      </w:pPr>
      <w:r>
        <w:rPr>
          <w:rFonts w:ascii="Humnst777 Lt BT" w:hAnsi="Humnst777 Lt BT"/>
          <w:i/>
        </w:rPr>
        <w:t xml:space="preserve">To assess the </w:t>
      </w:r>
      <w:r w:rsidRPr="006A2576">
        <w:rPr>
          <w:rFonts w:ascii="Humnst777 Lt BT" w:hAnsi="Humnst777 Lt BT"/>
          <w:i/>
        </w:rPr>
        <w:t xml:space="preserve">quality of the </w:t>
      </w:r>
      <w:r w:rsidR="00537118" w:rsidRPr="006A2576">
        <w:rPr>
          <w:rFonts w:ascii="Humnst777 Lt BT" w:hAnsi="Humnst777 Lt BT"/>
          <w:i/>
        </w:rPr>
        <w:t>student/</w:t>
      </w:r>
      <w:r w:rsidR="002A37A1">
        <w:rPr>
          <w:rFonts w:ascii="Humnst777 Lt BT" w:hAnsi="Humnst777 Lt BT"/>
          <w:i/>
        </w:rPr>
        <w:t>staff/</w:t>
      </w:r>
      <w:r w:rsidRPr="006A2576">
        <w:rPr>
          <w:rFonts w:ascii="Humnst777 Lt BT" w:hAnsi="Humnst777 Lt BT"/>
          <w:i/>
        </w:rPr>
        <w:t xml:space="preserve">stakeholder </w:t>
      </w:r>
      <w:r>
        <w:rPr>
          <w:rFonts w:ascii="Humnst777 Lt BT" w:hAnsi="Humnst777 Lt BT"/>
          <w:i/>
        </w:rPr>
        <w:t xml:space="preserve">experience through consideration of lessons learnt through delivery of the Service Level Statement / Agreement and consider mechanisms for </w:t>
      </w:r>
      <w:r w:rsidR="00703160">
        <w:rPr>
          <w:rFonts w:ascii="Humnst777 Lt BT" w:hAnsi="Humnst777 Lt BT"/>
          <w:i/>
        </w:rPr>
        <w:t>improvement</w:t>
      </w:r>
      <w:r>
        <w:rPr>
          <w:rFonts w:ascii="Humnst777 Lt BT" w:hAnsi="Humnst777 Lt BT"/>
          <w:i/>
        </w:rPr>
        <w:t>;</w:t>
      </w:r>
    </w:p>
    <w:p w14:paraId="2F77CA63" w14:textId="04A017A1" w:rsidR="00A60B91" w:rsidRDefault="00A60B91" w:rsidP="00767F71">
      <w:pPr>
        <w:pStyle w:val="ListParagraph"/>
        <w:numPr>
          <w:ilvl w:val="1"/>
          <w:numId w:val="1"/>
        </w:numPr>
        <w:spacing w:after="200" w:line="276" w:lineRule="auto"/>
        <w:ind w:left="993" w:hanging="425"/>
        <w:contextualSpacing/>
        <w:rPr>
          <w:rFonts w:ascii="Humnst777 Lt BT" w:hAnsi="Humnst777 Lt BT"/>
          <w:i/>
        </w:rPr>
      </w:pPr>
      <w:r>
        <w:rPr>
          <w:rFonts w:ascii="Humnst777 Lt BT" w:hAnsi="Humnst777 Lt BT"/>
          <w:i/>
        </w:rPr>
        <w:t>To identify and manage any risks</w:t>
      </w:r>
      <w:r w:rsidR="00313218">
        <w:rPr>
          <w:rFonts w:ascii="Humnst777 Lt BT" w:hAnsi="Humnst777 Lt BT"/>
          <w:i/>
        </w:rPr>
        <w:t xml:space="preserve"> to the quality of the student</w:t>
      </w:r>
      <w:r w:rsidR="002A37A1">
        <w:rPr>
          <w:rFonts w:ascii="Humnst777 Lt BT" w:hAnsi="Humnst777 Lt BT"/>
          <w:i/>
        </w:rPr>
        <w:t xml:space="preserve"> and staff</w:t>
      </w:r>
      <w:r w:rsidR="00313218">
        <w:rPr>
          <w:rFonts w:ascii="Humnst777 Lt BT" w:hAnsi="Humnst777 Lt BT"/>
          <w:i/>
        </w:rPr>
        <w:t xml:space="preserve"> experience</w:t>
      </w:r>
      <w:r>
        <w:rPr>
          <w:rFonts w:ascii="Humnst777 Lt BT" w:hAnsi="Humnst777 Lt BT"/>
          <w:i/>
        </w:rPr>
        <w:t xml:space="preserve"> and ensure appropriate action plans are implemented to address any identified risks;</w:t>
      </w:r>
    </w:p>
    <w:p w14:paraId="0CB73D6E" w14:textId="6582FE98" w:rsidR="00703160" w:rsidRDefault="00703160" w:rsidP="00767F71">
      <w:pPr>
        <w:pStyle w:val="ListParagraph"/>
        <w:numPr>
          <w:ilvl w:val="1"/>
          <w:numId w:val="1"/>
        </w:numPr>
        <w:spacing w:after="200" w:line="276" w:lineRule="auto"/>
        <w:ind w:left="993" w:hanging="425"/>
        <w:contextualSpacing/>
        <w:rPr>
          <w:rFonts w:ascii="Humnst777 Lt BT" w:hAnsi="Humnst777 Lt BT"/>
          <w:i/>
        </w:rPr>
      </w:pPr>
      <w:r>
        <w:rPr>
          <w:rFonts w:ascii="Humnst777 Lt BT" w:hAnsi="Humnst777 Lt BT"/>
          <w:i/>
        </w:rPr>
        <w:t>To demonstrate the process of communicating changes to students and staff</w:t>
      </w:r>
      <w:r w:rsidR="009C242A">
        <w:rPr>
          <w:rFonts w:ascii="Humnst777 Lt BT" w:hAnsi="Humnst777 Lt BT"/>
          <w:i/>
        </w:rPr>
        <w:t xml:space="preserve">; </w:t>
      </w:r>
    </w:p>
    <w:p w14:paraId="219C14E1" w14:textId="77777777" w:rsidR="00A60B91" w:rsidRDefault="00A60B91" w:rsidP="00767F71">
      <w:pPr>
        <w:pStyle w:val="ListParagraph"/>
        <w:numPr>
          <w:ilvl w:val="1"/>
          <w:numId w:val="1"/>
        </w:numPr>
        <w:spacing w:after="200" w:line="276" w:lineRule="auto"/>
        <w:ind w:left="993" w:hanging="425"/>
        <w:contextualSpacing/>
        <w:rPr>
          <w:rFonts w:ascii="Humnst777 Lt BT" w:hAnsi="Humnst777 Lt BT"/>
          <w:i/>
        </w:rPr>
      </w:pPr>
      <w:r>
        <w:rPr>
          <w:rFonts w:ascii="Humnst777 Lt BT" w:hAnsi="Humnst777 Lt BT"/>
          <w:i/>
        </w:rPr>
        <w:t>To identify good practice and share it to facilitate quality enhancement.</w:t>
      </w:r>
    </w:p>
    <w:p w14:paraId="1F6902CF" w14:textId="77777777" w:rsidR="002A37A1" w:rsidRDefault="00A60B91" w:rsidP="00767F71">
      <w:pPr>
        <w:pStyle w:val="ListParagraph"/>
        <w:numPr>
          <w:ilvl w:val="0"/>
          <w:numId w:val="1"/>
        </w:numPr>
        <w:spacing w:after="200" w:line="276" w:lineRule="auto"/>
        <w:ind w:left="567" w:hanging="567"/>
        <w:contextualSpacing/>
        <w:rPr>
          <w:rFonts w:ascii="Humnst777 Lt BT" w:hAnsi="Humnst777 Lt BT"/>
          <w:i/>
        </w:rPr>
      </w:pPr>
      <w:r>
        <w:rPr>
          <w:rFonts w:ascii="Humnst777 Lt BT" w:hAnsi="Humnst777 Lt BT"/>
          <w:i/>
        </w:rPr>
        <w:t>The Professional Services Quality Committee (PSQC)</w:t>
      </w:r>
      <w:r w:rsidR="00537118">
        <w:rPr>
          <w:rFonts w:ascii="Humnst777 Lt BT" w:hAnsi="Humnst777 Lt BT"/>
          <w:i/>
        </w:rPr>
        <w:t xml:space="preserve"> has oversight of the process. </w:t>
      </w:r>
    </w:p>
    <w:p w14:paraId="7BD9B834" w14:textId="10F71ECB" w:rsidR="00A60B91" w:rsidRDefault="00A60B91" w:rsidP="00767F71">
      <w:pPr>
        <w:pStyle w:val="ListParagraph"/>
        <w:numPr>
          <w:ilvl w:val="0"/>
          <w:numId w:val="1"/>
        </w:numPr>
        <w:spacing w:after="200" w:line="276" w:lineRule="auto"/>
        <w:ind w:left="567" w:hanging="567"/>
        <w:contextualSpacing/>
        <w:rPr>
          <w:rFonts w:ascii="Humnst777 Lt BT" w:hAnsi="Humnst777 Lt BT"/>
          <w:i/>
        </w:rPr>
      </w:pPr>
      <w:r>
        <w:rPr>
          <w:rFonts w:ascii="Humnst777 Lt BT" w:hAnsi="Humnst777 Lt BT"/>
          <w:i/>
        </w:rPr>
        <w:t xml:space="preserve">The SMT Lead has responsibility for ensuring reports are produced for all </w:t>
      </w:r>
      <w:r w:rsidR="00E6014A">
        <w:rPr>
          <w:rFonts w:ascii="Humnst777 Lt BT" w:hAnsi="Humnst777 Lt BT"/>
          <w:i/>
        </w:rPr>
        <w:t xml:space="preserve">designated </w:t>
      </w:r>
      <w:r>
        <w:rPr>
          <w:rFonts w:ascii="Humnst777 Lt BT" w:hAnsi="Humnst777 Lt BT"/>
          <w:i/>
        </w:rPr>
        <w:t>professional services within their area.</w:t>
      </w:r>
    </w:p>
    <w:p w14:paraId="6A7C9322" w14:textId="77777777" w:rsidR="00A60B91" w:rsidRPr="00377FDB" w:rsidRDefault="00A60B91" w:rsidP="00767F71">
      <w:pPr>
        <w:pStyle w:val="ListParagraph"/>
        <w:numPr>
          <w:ilvl w:val="0"/>
          <w:numId w:val="1"/>
        </w:numPr>
        <w:spacing w:after="200" w:line="276" w:lineRule="auto"/>
        <w:ind w:left="567" w:hanging="567"/>
        <w:contextualSpacing/>
        <w:rPr>
          <w:rFonts w:ascii="Humnst777 Lt BT" w:hAnsi="Humnst777 Lt BT"/>
          <w:i/>
        </w:rPr>
      </w:pPr>
      <w:r w:rsidRPr="00377FDB">
        <w:rPr>
          <w:rFonts w:ascii="Humnst777 Lt BT" w:hAnsi="Humnst777 Lt BT"/>
          <w:i/>
        </w:rPr>
        <w:t>The report is to be produced</w:t>
      </w:r>
      <w:r>
        <w:rPr>
          <w:rFonts w:ascii="Humnst777 Lt BT" w:hAnsi="Humnst777 Lt BT"/>
          <w:i/>
        </w:rPr>
        <w:t xml:space="preserve"> as a</w:t>
      </w:r>
      <w:r w:rsidRPr="00377FDB">
        <w:rPr>
          <w:rFonts w:ascii="Humnst777 Lt BT" w:hAnsi="Humnst777 Lt BT"/>
          <w:i/>
        </w:rPr>
        <w:t xml:space="preserve"> </w:t>
      </w:r>
      <w:r>
        <w:rPr>
          <w:rFonts w:ascii="Humnst777 Lt BT" w:hAnsi="Humnst777 Lt BT"/>
          <w:i/>
        </w:rPr>
        <w:t>whole</w:t>
      </w:r>
      <w:r w:rsidRPr="00377FDB">
        <w:rPr>
          <w:rFonts w:ascii="Humnst777 Lt BT" w:hAnsi="Humnst777 Lt BT"/>
          <w:i/>
        </w:rPr>
        <w:t xml:space="preserve"> </w:t>
      </w:r>
      <w:r>
        <w:rPr>
          <w:rFonts w:ascii="Humnst777 Lt BT" w:hAnsi="Humnst777 Lt BT"/>
          <w:i/>
        </w:rPr>
        <w:t>department activity</w:t>
      </w:r>
      <w:r w:rsidRPr="00377FDB">
        <w:rPr>
          <w:rFonts w:ascii="Humnst777 Lt BT" w:hAnsi="Humnst777 Lt BT"/>
          <w:i/>
        </w:rPr>
        <w:t xml:space="preserve"> (led by the Director</w:t>
      </w:r>
      <w:r>
        <w:rPr>
          <w:rFonts w:ascii="Humnst777 Lt BT" w:hAnsi="Humnst777 Lt BT"/>
          <w:i/>
        </w:rPr>
        <w:t>/Head of Department</w:t>
      </w:r>
      <w:r w:rsidRPr="00377FDB">
        <w:rPr>
          <w:rFonts w:ascii="Humnst777 Lt BT" w:hAnsi="Humnst777 Lt BT"/>
          <w:i/>
        </w:rPr>
        <w:t>).</w:t>
      </w:r>
    </w:p>
    <w:p w14:paraId="3329F231" w14:textId="0CBF71A9" w:rsidR="00703160" w:rsidRDefault="00A60B91" w:rsidP="00767F71">
      <w:pPr>
        <w:pStyle w:val="ListParagraph"/>
        <w:numPr>
          <w:ilvl w:val="0"/>
          <w:numId w:val="1"/>
        </w:numPr>
        <w:spacing w:after="200" w:line="276" w:lineRule="auto"/>
        <w:ind w:left="567" w:hanging="567"/>
        <w:contextualSpacing/>
        <w:rPr>
          <w:rFonts w:ascii="Humnst777 Lt BT" w:hAnsi="Humnst777 Lt BT"/>
          <w:i/>
        </w:rPr>
      </w:pPr>
      <w:r w:rsidRPr="00B71BAB">
        <w:rPr>
          <w:rFonts w:ascii="Humnst777 Lt BT" w:hAnsi="Humnst777 Lt BT"/>
          <w:i/>
        </w:rPr>
        <w:t>The report should be evaluative and critically self-reflective.</w:t>
      </w:r>
      <w:r w:rsidR="00B71BAB" w:rsidRPr="00B71BAB">
        <w:rPr>
          <w:rFonts w:ascii="Humnst777 Lt BT" w:hAnsi="Humnst777 Lt BT"/>
          <w:i/>
        </w:rPr>
        <w:t xml:space="preserve">  </w:t>
      </w:r>
    </w:p>
    <w:p w14:paraId="48255D16" w14:textId="067D64B5" w:rsidR="00537118" w:rsidRDefault="00597DA2" w:rsidP="00767F71">
      <w:pPr>
        <w:pStyle w:val="ListParagraph"/>
        <w:numPr>
          <w:ilvl w:val="0"/>
          <w:numId w:val="1"/>
        </w:numPr>
        <w:spacing w:after="200" w:line="276" w:lineRule="auto"/>
        <w:ind w:left="567" w:hanging="567"/>
        <w:contextualSpacing/>
        <w:rPr>
          <w:rFonts w:ascii="Humnst777 Lt BT" w:hAnsi="Humnst777 Lt BT"/>
          <w:i/>
        </w:rPr>
      </w:pPr>
      <w:r>
        <w:rPr>
          <w:rFonts w:ascii="Humnst777 Lt BT" w:hAnsi="Humnst777 Lt BT"/>
          <w:i/>
        </w:rPr>
        <w:t>T</w:t>
      </w:r>
      <w:r w:rsidR="00B71BAB" w:rsidRPr="00B71BAB">
        <w:rPr>
          <w:rFonts w:ascii="Humnst777 Lt BT" w:hAnsi="Humnst777 Lt BT"/>
          <w:i/>
        </w:rPr>
        <w:t>he Overview Commentary section</w:t>
      </w:r>
      <w:r>
        <w:rPr>
          <w:rFonts w:ascii="Humnst777 Lt BT" w:hAnsi="Humnst777 Lt BT"/>
          <w:i/>
        </w:rPr>
        <w:t xml:space="preserve"> must</w:t>
      </w:r>
      <w:r w:rsidR="00B71BAB" w:rsidRPr="00B71BAB">
        <w:rPr>
          <w:rFonts w:ascii="Humnst777 Lt BT" w:hAnsi="Humnst777 Lt BT"/>
          <w:i/>
        </w:rPr>
        <w:t xml:space="preserve"> remain brief and focus on a few key specific areas that require further consideration as highlighted by the review of evidence.  </w:t>
      </w:r>
    </w:p>
    <w:p w14:paraId="5C70F7BF" w14:textId="7C6A18D1" w:rsidR="00B71BAB" w:rsidRPr="006A2576" w:rsidRDefault="00703160" w:rsidP="00767F71">
      <w:pPr>
        <w:pStyle w:val="ListParagraph"/>
        <w:numPr>
          <w:ilvl w:val="0"/>
          <w:numId w:val="1"/>
        </w:numPr>
        <w:spacing w:after="200" w:line="276" w:lineRule="auto"/>
        <w:ind w:left="567" w:hanging="567"/>
        <w:contextualSpacing/>
        <w:rPr>
          <w:rFonts w:ascii="Humnst777 Lt BT" w:hAnsi="Humnst777 Lt BT"/>
          <w:i/>
        </w:rPr>
      </w:pPr>
      <w:r>
        <w:rPr>
          <w:rFonts w:ascii="Humnst777 Lt BT" w:hAnsi="Humnst777 Lt BT"/>
          <w:i/>
        </w:rPr>
        <w:t>T</w:t>
      </w:r>
      <w:r w:rsidR="00537118" w:rsidRPr="006A2576">
        <w:rPr>
          <w:rFonts w:ascii="Humnst777 Lt BT" w:hAnsi="Humnst777 Lt BT"/>
          <w:i/>
        </w:rPr>
        <w:t>he service should focus on exceptions</w:t>
      </w:r>
      <w:r w:rsidR="00313218">
        <w:rPr>
          <w:rFonts w:ascii="Humnst777 Lt BT" w:hAnsi="Humnst777 Lt BT"/>
          <w:i/>
        </w:rPr>
        <w:t xml:space="preserve"> and not business as usual</w:t>
      </w:r>
      <w:r w:rsidR="00537118" w:rsidRPr="006A2576">
        <w:rPr>
          <w:rFonts w:ascii="Humnst777 Lt BT" w:hAnsi="Humnst777 Lt BT"/>
          <w:i/>
        </w:rPr>
        <w:t xml:space="preserve">. </w:t>
      </w:r>
      <w:r w:rsidR="009C242A">
        <w:rPr>
          <w:rFonts w:ascii="Humnst777 Lt BT" w:hAnsi="Humnst777 Lt BT"/>
          <w:i/>
        </w:rPr>
        <w:t xml:space="preserve">The </w:t>
      </w:r>
      <w:r w:rsidR="00B71BAB" w:rsidRPr="006A2576">
        <w:rPr>
          <w:rFonts w:ascii="Humnst777 Lt BT" w:hAnsi="Humnst777 Lt BT"/>
          <w:i/>
        </w:rPr>
        <w:t xml:space="preserve">Professional Service </w:t>
      </w:r>
      <w:r w:rsidR="009C242A" w:rsidRPr="006A2576">
        <w:rPr>
          <w:rFonts w:ascii="Humnst777 Lt BT" w:hAnsi="Humnst777 Lt BT"/>
          <w:i/>
        </w:rPr>
        <w:t xml:space="preserve">Annual </w:t>
      </w:r>
      <w:r w:rsidR="00B71BAB" w:rsidRPr="006A2576">
        <w:rPr>
          <w:rFonts w:ascii="Humnst777 Lt BT" w:hAnsi="Humnst777 Lt BT"/>
          <w:i/>
        </w:rPr>
        <w:t xml:space="preserve">Monitoring process is an exceptions reporting process and there is no requirement to provide commentary on all of the evidence reviewed nor </w:t>
      </w:r>
      <w:r w:rsidR="00313218">
        <w:rPr>
          <w:rFonts w:ascii="Humnst777 Lt BT" w:hAnsi="Humnst777 Lt BT"/>
          <w:i/>
        </w:rPr>
        <w:t xml:space="preserve">to </w:t>
      </w:r>
      <w:r w:rsidR="00B71BAB" w:rsidRPr="006A2576">
        <w:rPr>
          <w:rFonts w:ascii="Humnst777 Lt BT" w:hAnsi="Humnst777 Lt BT"/>
          <w:i/>
        </w:rPr>
        <w:t>duplicate the Business Planning process.</w:t>
      </w:r>
    </w:p>
    <w:p w14:paraId="74DD43A8" w14:textId="77777777" w:rsidR="00A60B91" w:rsidRDefault="00A60B91" w:rsidP="00767F71">
      <w:pPr>
        <w:pStyle w:val="ListParagraph"/>
        <w:numPr>
          <w:ilvl w:val="0"/>
          <w:numId w:val="1"/>
        </w:numPr>
        <w:spacing w:after="200" w:line="276" w:lineRule="auto"/>
        <w:ind w:left="567" w:hanging="567"/>
        <w:contextualSpacing/>
        <w:rPr>
          <w:rFonts w:ascii="Humnst777 Lt BT" w:hAnsi="Humnst777 Lt BT"/>
          <w:i/>
        </w:rPr>
      </w:pPr>
      <w:r w:rsidRPr="00377FDB">
        <w:rPr>
          <w:rFonts w:ascii="Humnst777 Lt BT" w:hAnsi="Humnst777 Lt BT"/>
          <w:i/>
        </w:rPr>
        <w:t xml:space="preserve">Deadlines for the submission of reports will be determined by the </w:t>
      </w:r>
      <w:r>
        <w:rPr>
          <w:rFonts w:ascii="Humnst777 Lt BT" w:hAnsi="Humnst777 Lt BT"/>
          <w:i/>
        </w:rPr>
        <w:t>Quality and Standards Office and must be adhered to in order to enable the feed up of appropriate summary reports through the University committee structure</w:t>
      </w:r>
      <w:r w:rsidRPr="00377FDB">
        <w:rPr>
          <w:rFonts w:ascii="Humnst777 Lt BT" w:hAnsi="Humnst777 Lt BT"/>
          <w:i/>
        </w:rPr>
        <w:t xml:space="preserve">.  </w:t>
      </w:r>
    </w:p>
    <w:p w14:paraId="67798C19" w14:textId="77777777" w:rsidR="00A60B91" w:rsidRDefault="00A60B91" w:rsidP="00767F71">
      <w:pPr>
        <w:pStyle w:val="ListParagraph"/>
        <w:numPr>
          <w:ilvl w:val="0"/>
          <w:numId w:val="1"/>
        </w:numPr>
        <w:spacing w:after="200" w:line="276" w:lineRule="auto"/>
        <w:ind w:left="567" w:hanging="567"/>
        <w:contextualSpacing/>
        <w:rPr>
          <w:rFonts w:ascii="Humnst777 Lt BT" w:hAnsi="Humnst777 Lt BT"/>
          <w:i/>
        </w:rPr>
      </w:pPr>
      <w:r w:rsidRPr="00523027">
        <w:rPr>
          <w:rFonts w:ascii="Humnst777 Lt BT" w:hAnsi="Humnst777 Lt BT"/>
          <w:i/>
        </w:rPr>
        <w:lastRenderedPageBreak/>
        <w:t xml:space="preserve">The report must be approved by the SMT Lead prior to submission to the Quality and Standards Office.  </w:t>
      </w:r>
    </w:p>
    <w:p w14:paraId="3D0095E4" w14:textId="77777777" w:rsidR="00A60B91" w:rsidRPr="00523027" w:rsidRDefault="00A60B91" w:rsidP="00767F71">
      <w:pPr>
        <w:pStyle w:val="ListParagraph"/>
        <w:numPr>
          <w:ilvl w:val="0"/>
          <w:numId w:val="1"/>
        </w:numPr>
        <w:spacing w:after="200" w:line="276" w:lineRule="auto"/>
        <w:ind w:left="567" w:hanging="567"/>
        <w:contextualSpacing/>
        <w:rPr>
          <w:rFonts w:ascii="Humnst777 Lt BT" w:hAnsi="Humnst777 Lt BT"/>
          <w:i/>
        </w:rPr>
      </w:pPr>
      <w:r w:rsidRPr="00523027">
        <w:rPr>
          <w:rFonts w:ascii="Humnst777 Lt BT" w:hAnsi="Humnst777 Lt BT"/>
          <w:i/>
        </w:rPr>
        <w:t xml:space="preserve">There may be a requirement for the report to undergo further amendment following </w:t>
      </w:r>
      <w:r>
        <w:rPr>
          <w:rFonts w:ascii="Humnst777 Lt BT" w:hAnsi="Humnst777 Lt BT"/>
          <w:i/>
        </w:rPr>
        <w:t>consideration by the SMT Lead</w:t>
      </w:r>
      <w:r w:rsidRPr="00523027">
        <w:rPr>
          <w:rFonts w:ascii="Humnst777 Lt BT" w:hAnsi="Humnst777 Lt BT"/>
          <w:i/>
        </w:rPr>
        <w:t>.</w:t>
      </w:r>
    </w:p>
    <w:p w14:paraId="5A831A80" w14:textId="483AE0D9" w:rsidR="00A60B91" w:rsidRDefault="00A60B91" w:rsidP="00767F71">
      <w:pPr>
        <w:pStyle w:val="ListParagraph"/>
        <w:numPr>
          <w:ilvl w:val="0"/>
          <w:numId w:val="1"/>
        </w:numPr>
        <w:spacing w:after="200" w:line="276" w:lineRule="auto"/>
        <w:ind w:left="567" w:hanging="567"/>
        <w:contextualSpacing/>
        <w:rPr>
          <w:rFonts w:ascii="Humnst777 Lt BT" w:hAnsi="Humnst777 Lt BT"/>
          <w:i/>
        </w:rPr>
      </w:pPr>
      <w:r>
        <w:rPr>
          <w:rFonts w:ascii="Humnst777 Lt BT" w:hAnsi="Humnst777 Lt BT"/>
          <w:i/>
        </w:rPr>
        <w:t>Once finalised the report should remain a live document and the action plan should be reviewed for progress throughout the year via the departmental team meeting.  The report should inform the University’s business planning process</w:t>
      </w:r>
      <w:r w:rsidR="00313218">
        <w:rPr>
          <w:rFonts w:ascii="Humnst777 Lt BT" w:hAnsi="Humnst777 Lt BT"/>
          <w:i/>
        </w:rPr>
        <w:t xml:space="preserve">, </w:t>
      </w:r>
      <w:r w:rsidR="002A37A1">
        <w:rPr>
          <w:rFonts w:ascii="Humnst777 Lt BT" w:hAnsi="Humnst777 Lt BT"/>
          <w:i/>
        </w:rPr>
        <w:t>drawing on feedback received in-year from students, staff and stakeholders</w:t>
      </w:r>
      <w:r>
        <w:rPr>
          <w:rFonts w:ascii="Humnst777 Lt BT" w:hAnsi="Humnst777 Lt BT"/>
          <w:i/>
        </w:rPr>
        <w:t>.</w:t>
      </w:r>
    </w:p>
    <w:p w14:paraId="24B17F8B" w14:textId="18085EB2" w:rsidR="002A37A1" w:rsidRPr="00263F13" w:rsidRDefault="002A37A1" w:rsidP="00263F13">
      <w:pPr>
        <w:pStyle w:val="ListParagraph"/>
        <w:numPr>
          <w:ilvl w:val="0"/>
          <w:numId w:val="1"/>
        </w:numPr>
        <w:spacing w:after="200" w:line="276" w:lineRule="auto"/>
        <w:ind w:left="567" w:hanging="567"/>
        <w:contextualSpacing/>
        <w:rPr>
          <w:rFonts w:ascii="Humnst777 Lt BT" w:hAnsi="Humnst777 Lt BT"/>
          <w:i/>
        </w:rPr>
      </w:pPr>
      <w:r>
        <w:rPr>
          <w:rFonts w:ascii="Humnst777 Lt BT" w:hAnsi="Humnst777 Lt BT"/>
          <w:i/>
        </w:rPr>
        <w:t xml:space="preserve">Departments are also required to submit Service Level </w:t>
      </w:r>
      <w:r w:rsidR="00263F13">
        <w:rPr>
          <w:rFonts w:ascii="Humnst777 Lt BT" w:hAnsi="Humnst777 Lt BT"/>
          <w:i/>
        </w:rPr>
        <w:t>A</w:t>
      </w:r>
      <w:r>
        <w:rPr>
          <w:rFonts w:ascii="Humnst777 Lt BT" w:hAnsi="Humnst777 Lt BT"/>
          <w:i/>
        </w:rPr>
        <w:t>greements.</w:t>
      </w:r>
      <w:r w:rsidR="00263F13">
        <w:rPr>
          <w:rFonts w:ascii="Humnst777 Lt BT" w:hAnsi="Humnst777 Lt BT"/>
          <w:i/>
        </w:rPr>
        <w:t xml:space="preserve"> </w:t>
      </w:r>
      <w:bookmarkStart w:id="0" w:name="_Hlk21085974"/>
      <w:r w:rsidR="00263F13">
        <w:rPr>
          <w:rFonts w:ascii="Humnst777 Lt BT" w:hAnsi="Humnst777 Lt BT"/>
          <w:i/>
        </w:rPr>
        <w:t>D</w:t>
      </w:r>
      <w:r w:rsidR="00263F13" w:rsidRPr="00263F13">
        <w:rPr>
          <w:rFonts w:ascii="Humnst777 Lt BT" w:hAnsi="Humnst777 Lt BT"/>
          <w:i/>
        </w:rPr>
        <w:t>epartments that already have an SLA should use the existing format. Departments that do not have a</w:t>
      </w:r>
      <w:r w:rsidR="00263F13">
        <w:rPr>
          <w:rFonts w:ascii="Humnst777 Lt BT" w:hAnsi="Humnst777 Lt BT"/>
          <w:i/>
        </w:rPr>
        <w:t>n</w:t>
      </w:r>
      <w:r w:rsidR="00263F13" w:rsidRPr="00263F13">
        <w:rPr>
          <w:rFonts w:ascii="Humnst777 Lt BT" w:hAnsi="Humnst777 Lt BT"/>
          <w:i/>
        </w:rPr>
        <w:t xml:space="preserve"> SLA are advised to (a) either use the template attached on the proviso that it will change slightly from September 2020, or (b) include the need to develop a department SLA on your action plan, for completion when the new template is released in 2020</w:t>
      </w:r>
      <w:r w:rsidR="00263F13">
        <w:rPr>
          <w:rFonts w:ascii="Humnst777 Lt BT" w:hAnsi="Humnst777 Lt BT"/>
          <w:i/>
        </w:rPr>
        <w:t>.</w:t>
      </w:r>
      <w:bookmarkEnd w:id="0"/>
    </w:p>
    <w:p w14:paraId="729C960F" w14:textId="77777777" w:rsidR="00A60B91" w:rsidRDefault="00A60B91" w:rsidP="00A60B91">
      <w:pPr>
        <w:spacing w:after="160" w:line="259" w:lineRule="auto"/>
        <w:rPr>
          <w:rFonts w:ascii="Humnst777 Lt BT" w:hAnsi="Humnst777 Lt BT"/>
          <w:i/>
        </w:rPr>
      </w:pPr>
      <w:r>
        <w:rPr>
          <w:rFonts w:ascii="Humnst777 Lt BT" w:hAnsi="Humnst777 Lt BT"/>
          <w:i/>
        </w:rPr>
        <w:br w:type="page"/>
      </w:r>
    </w:p>
    <w:p w14:paraId="7C35BD6C" w14:textId="3265700C" w:rsidR="00A60B91" w:rsidRPr="00377FDB" w:rsidRDefault="00A73D72" w:rsidP="005A0BB9">
      <w:pPr>
        <w:pStyle w:val="SectionHeading"/>
        <w:ind w:left="426"/>
      </w:pPr>
      <w:r>
        <w:lastRenderedPageBreak/>
        <w:t xml:space="preserve">SECTION 1 - </w:t>
      </w:r>
      <w:r w:rsidR="003C5D02">
        <w:t>CHECKLIST OF SOURCES OF EVIDENCE</w:t>
      </w:r>
    </w:p>
    <w:p w14:paraId="722DF447" w14:textId="77777777" w:rsidR="00A73D72" w:rsidRDefault="00A73D72" w:rsidP="00A60B91">
      <w:pPr>
        <w:ind w:left="567"/>
        <w:rPr>
          <w:rFonts w:ascii="Humnst777 Lt BT" w:hAnsi="Humnst777 Lt BT"/>
        </w:rPr>
      </w:pPr>
    </w:p>
    <w:p w14:paraId="261A0528" w14:textId="27188188" w:rsidR="00C13E8C" w:rsidRDefault="00A60B91" w:rsidP="00A60B91">
      <w:pPr>
        <w:ind w:left="567"/>
        <w:rPr>
          <w:rFonts w:ascii="Humnst777 Lt BT" w:hAnsi="Humnst777 Lt BT"/>
        </w:rPr>
      </w:pPr>
      <w:r>
        <w:rPr>
          <w:rFonts w:ascii="Humnst777 Lt BT" w:hAnsi="Humnst777 Lt BT"/>
        </w:rPr>
        <w:t xml:space="preserve">This report should be produced in reference to a range of </w:t>
      </w:r>
      <w:r w:rsidR="00313218">
        <w:rPr>
          <w:rFonts w:ascii="Humnst777 Lt BT" w:hAnsi="Humnst777 Lt BT"/>
        </w:rPr>
        <w:t xml:space="preserve">evidence </w:t>
      </w:r>
      <w:r w:rsidR="00703160">
        <w:rPr>
          <w:rFonts w:ascii="Humnst777 Lt BT" w:hAnsi="Humnst777 Lt BT"/>
        </w:rPr>
        <w:t>sources</w:t>
      </w:r>
      <w:r w:rsidR="00324299">
        <w:rPr>
          <w:rFonts w:ascii="Humnst777 Lt BT" w:hAnsi="Humnst777 Lt BT"/>
        </w:rPr>
        <w:t xml:space="preserve">. </w:t>
      </w:r>
      <w:r w:rsidR="00703160">
        <w:rPr>
          <w:rFonts w:ascii="Humnst777 Lt BT" w:hAnsi="Humnst777 Lt BT"/>
        </w:rPr>
        <w:t>The importance of the student voice is paramount to this process</w:t>
      </w:r>
      <w:r w:rsidR="00C13E8C">
        <w:rPr>
          <w:rFonts w:ascii="Humnst777 Lt BT" w:hAnsi="Humnst777 Lt BT"/>
        </w:rPr>
        <w:t xml:space="preserve"> and the different feedback channels used by the Professional Service department should be listed in the tables below. </w:t>
      </w:r>
    </w:p>
    <w:p w14:paraId="1DB2EC35" w14:textId="77777777" w:rsidR="00C13E8C" w:rsidRDefault="00C13E8C" w:rsidP="00A60B91">
      <w:pPr>
        <w:ind w:left="567"/>
        <w:rPr>
          <w:rFonts w:ascii="Humnst777 Lt BT" w:hAnsi="Humnst777 Lt BT"/>
        </w:rPr>
      </w:pPr>
    </w:p>
    <w:p w14:paraId="7C460CF2" w14:textId="3425802C" w:rsidR="00313218" w:rsidRDefault="00A60B91" w:rsidP="00A60B91">
      <w:pPr>
        <w:ind w:left="567"/>
        <w:rPr>
          <w:rFonts w:ascii="Humnst777 Lt BT" w:hAnsi="Humnst777 Lt BT"/>
        </w:rPr>
      </w:pPr>
      <w:r>
        <w:rPr>
          <w:rFonts w:ascii="Humnst777 Lt BT" w:hAnsi="Humnst777 Lt BT"/>
        </w:rPr>
        <w:t xml:space="preserve">The </w:t>
      </w:r>
      <w:r w:rsidR="00313218">
        <w:rPr>
          <w:rFonts w:ascii="Humnst777 Lt BT" w:hAnsi="Humnst777 Lt BT"/>
        </w:rPr>
        <w:t xml:space="preserve">list below </w:t>
      </w:r>
      <w:r>
        <w:rPr>
          <w:rFonts w:ascii="Humnst777 Lt BT" w:hAnsi="Humnst777 Lt BT"/>
        </w:rPr>
        <w:t xml:space="preserve">is suggested as a starting </w:t>
      </w:r>
      <w:r w:rsidR="00313218">
        <w:rPr>
          <w:rFonts w:ascii="Humnst777 Lt BT" w:hAnsi="Humnst777 Lt BT"/>
        </w:rPr>
        <w:t>point</w:t>
      </w:r>
      <w:r>
        <w:rPr>
          <w:rFonts w:ascii="Humnst777 Lt BT" w:hAnsi="Humnst777 Lt BT"/>
        </w:rPr>
        <w:t>, but may be added to depending on the responsibilities of the individual Professional Service department. The report should reference documents provided as part of the evidence base rather than repeat content from the sources of evidence</w:t>
      </w:r>
      <w:r w:rsidR="00313218">
        <w:rPr>
          <w:rFonts w:ascii="Humnst777 Lt BT" w:hAnsi="Humnst777 Lt BT"/>
        </w:rPr>
        <w:t>.</w:t>
      </w:r>
    </w:p>
    <w:p w14:paraId="767DE195" w14:textId="77777777" w:rsidR="00767F71" w:rsidRDefault="00767F71" w:rsidP="00A60B91">
      <w:pPr>
        <w:ind w:left="567"/>
        <w:rPr>
          <w:rFonts w:ascii="Humnst777 Lt BT" w:hAnsi="Humnst777 Lt BT"/>
        </w:rPr>
      </w:pPr>
    </w:p>
    <w:p w14:paraId="00D08267" w14:textId="5D5BA9F0" w:rsidR="00A60B91" w:rsidRDefault="00A60B91" w:rsidP="002C5A94">
      <w:pPr>
        <w:ind w:left="567"/>
        <w:rPr>
          <w:rFonts w:ascii="Humnst777 Lt BT" w:hAnsi="Humnst777 Lt BT"/>
          <w:i/>
        </w:rPr>
      </w:pPr>
      <w:r>
        <w:rPr>
          <w:rFonts w:ascii="Humnst777 Lt BT" w:hAnsi="Humnst777 Lt BT"/>
        </w:rPr>
        <w:t>The sources of evide</w:t>
      </w:r>
      <w:r w:rsidR="0050789C">
        <w:rPr>
          <w:rFonts w:ascii="Humnst777 Lt BT" w:hAnsi="Humnst777 Lt BT"/>
        </w:rPr>
        <w:t xml:space="preserve">nce </w:t>
      </w:r>
      <w:r w:rsidR="00313218">
        <w:rPr>
          <w:rFonts w:ascii="Humnst777 Lt BT" w:hAnsi="Humnst777 Lt BT"/>
        </w:rPr>
        <w:t>should</w:t>
      </w:r>
      <w:r w:rsidR="0050789C">
        <w:rPr>
          <w:rFonts w:ascii="Humnst777 Lt BT" w:hAnsi="Humnst777 Lt BT"/>
        </w:rPr>
        <w:t xml:space="preserve"> be compiled in</w:t>
      </w:r>
      <w:r>
        <w:rPr>
          <w:rFonts w:ascii="Humnst777 Lt BT" w:hAnsi="Humnst777 Lt BT"/>
        </w:rPr>
        <w:t xml:space="preserve">to an electronic data pack to be submitted along with the completed report for consideration by the SMT Lead and the Quality and Standards Office.  </w:t>
      </w:r>
      <w:r>
        <w:rPr>
          <w:rFonts w:ascii="Humnst777 Lt BT" w:hAnsi="Humnst777 Lt BT"/>
          <w:i/>
        </w:rPr>
        <w:t>(Please indicate with a Y / N / N/A in terms of documentation referenced.)</w:t>
      </w:r>
    </w:p>
    <w:p w14:paraId="5A27571F" w14:textId="77777777" w:rsidR="00A60B91" w:rsidRDefault="00A60B91" w:rsidP="00A60B91">
      <w:pPr>
        <w:ind w:left="567"/>
        <w:rPr>
          <w:rFonts w:ascii="Humnst777 Lt BT" w:hAnsi="Humnst777 Lt BT"/>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8"/>
        <w:gridCol w:w="1559"/>
      </w:tblGrid>
      <w:tr w:rsidR="00A60B91" w:rsidRPr="005A0BB9" w14:paraId="2A07A0AD" w14:textId="77777777" w:rsidTr="005A0BB9">
        <w:trPr>
          <w:jc w:val="center"/>
        </w:trPr>
        <w:tc>
          <w:tcPr>
            <w:tcW w:w="11208" w:type="dxa"/>
            <w:shd w:val="clear" w:color="auto" w:fill="B4C6E7" w:themeFill="accent5" w:themeFillTint="66"/>
          </w:tcPr>
          <w:p w14:paraId="324638D3" w14:textId="77777777" w:rsidR="00A60B91" w:rsidRPr="005A0BB9" w:rsidRDefault="00A60B91" w:rsidP="002C5A94">
            <w:pPr>
              <w:rPr>
                <w:rFonts w:ascii="Humnst777 Lt BT" w:hAnsi="Humnst777 Lt BT"/>
                <w:b/>
              </w:rPr>
            </w:pPr>
            <w:r w:rsidRPr="005A0BB9">
              <w:rPr>
                <w:rFonts w:ascii="Humnst777 Lt BT" w:hAnsi="Humnst777 Lt BT"/>
                <w:b/>
              </w:rPr>
              <w:t xml:space="preserve">Evidence Source </w:t>
            </w:r>
            <w:r w:rsidR="002C5A94" w:rsidRPr="005A0BB9">
              <w:rPr>
                <w:rFonts w:ascii="Humnst777 Lt BT" w:hAnsi="Humnst777 Lt BT"/>
                <w:b/>
              </w:rPr>
              <w:t>(add new rows as needed)</w:t>
            </w:r>
          </w:p>
        </w:tc>
        <w:tc>
          <w:tcPr>
            <w:tcW w:w="1559" w:type="dxa"/>
            <w:shd w:val="clear" w:color="auto" w:fill="B4C6E7" w:themeFill="accent5" w:themeFillTint="66"/>
          </w:tcPr>
          <w:p w14:paraId="4AFEBF8F" w14:textId="77777777" w:rsidR="00A60B91" w:rsidRPr="005A0BB9" w:rsidRDefault="00A60B91" w:rsidP="000661C4">
            <w:pPr>
              <w:rPr>
                <w:rFonts w:ascii="Humnst777 Lt BT" w:hAnsi="Humnst777 Lt BT"/>
                <w:b/>
              </w:rPr>
            </w:pPr>
            <w:r w:rsidRPr="005A0BB9">
              <w:rPr>
                <w:rFonts w:ascii="Humnst777 Lt BT" w:hAnsi="Humnst777 Lt BT"/>
                <w:b/>
              </w:rPr>
              <w:t>Y</w:t>
            </w:r>
            <w:r w:rsidR="002C5A94" w:rsidRPr="005A0BB9">
              <w:rPr>
                <w:rFonts w:ascii="Humnst777 Lt BT" w:hAnsi="Humnst777 Lt BT"/>
                <w:b/>
              </w:rPr>
              <w:t xml:space="preserve"> </w:t>
            </w:r>
            <w:r w:rsidRPr="005A0BB9">
              <w:rPr>
                <w:rFonts w:ascii="Humnst777 Lt BT" w:hAnsi="Humnst777 Lt BT"/>
                <w:b/>
              </w:rPr>
              <w:t>/</w:t>
            </w:r>
            <w:r w:rsidR="002C5A94" w:rsidRPr="005A0BB9">
              <w:rPr>
                <w:rFonts w:ascii="Humnst777 Lt BT" w:hAnsi="Humnst777 Lt BT"/>
                <w:b/>
              </w:rPr>
              <w:t xml:space="preserve"> </w:t>
            </w:r>
            <w:r w:rsidRPr="005A0BB9">
              <w:rPr>
                <w:rFonts w:ascii="Humnst777 Lt BT" w:hAnsi="Humnst777 Lt BT"/>
                <w:b/>
              </w:rPr>
              <w:t>N</w:t>
            </w:r>
            <w:r w:rsidR="002C5A94" w:rsidRPr="005A0BB9">
              <w:rPr>
                <w:rFonts w:ascii="Humnst777 Lt BT" w:hAnsi="Humnst777 Lt BT"/>
                <w:b/>
              </w:rPr>
              <w:t xml:space="preserve"> </w:t>
            </w:r>
            <w:r w:rsidRPr="005A0BB9">
              <w:rPr>
                <w:rFonts w:ascii="Humnst777 Lt BT" w:hAnsi="Humnst777 Lt BT"/>
                <w:b/>
              </w:rPr>
              <w:t>/</w:t>
            </w:r>
            <w:r w:rsidR="002C5A94" w:rsidRPr="005A0BB9">
              <w:rPr>
                <w:rFonts w:ascii="Humnst777 Lt BT" w:hAnsi="Humnst777 Lt BT"/>
                <w:b/>
              </w:rPr>
              <w:t xml:space="preserve"> </w:t>
            </w:r>
            <w:r w:rsidRPr="005A0BB9">
              <w:rPr>
                <w:rFonts w:ascii="Humnst777 Lt BT" w:hAnsi="Humnst777 Lt BT"/>
                <w:b/>
              </w:rPr>
              <w:t>NA</w:t>
            </w:r>
          </w:p>
        </w:tc>
      </w:tr>
      <w:tr w:rsidR="00A60B91" w14:paraId="2501162D" w14:textId="77777777" w:rsidTr="003C5D02">
        <w:trPr>
          <w:jc w:val="center"/>
        </w:trPr>
        <w:tc>
          <w:tcPr>
            <w:tcW w:w="11208" w:type="dxa"/>
            <w:shd w:val="clear" w:color="auto" w:fill="auto"/>
          </w:tcPr>
          <w:p w14:paraId="01ABCA85" w14:textId="77777777" w:rsidR="00A60B91" w:rsidRPr="00883315" w:rsidRDefault="00A60B91" w:rsidP="00597DA2">
            <w:pPr>
              <w:ind w:left="25"/>
              <w:rPr>
                <w:rFonts w:ascii="Humnst777 Lt BT" w:eastAsia="Humnst777 Lt BT" w:hAnsi="Humnst777 Lt BT" w:cs="Humnst777 Lt BT"/>
                <w:sz w:val="22"/>
                <w:szCs w:val="22"/>
              </w:rPr>
            </w:pPr>
            <w:r w:rsidRPr="00883315">
              <w:rPr>
                <w:rFonts w:ascii="Humnst777 Lt BT" w:eastAsia="Humnst777 Lt BT" w:hAnsi="Humnst777 Lt BT" w:cs="Humnst777 Lt BT"/>
                <w:sz w:val="22"/>
                <w:szCs w:val="22"/>
              </w:rPr>
              <w:t>Previous Year’s Business Plan</w:t>
            </w:r>
          </w:p>
        </w:tc>
        <w:tc>
          <w:tcPr>
            <w:tcW w:w="1559" w:type="dxa"/>
            <w:shd w:val="clear" w:color="auto" w:fill="auto"/>
          </w:tcPr>
          <w:p w14:paraId="3684F03D" w14:textId="77777777" w:rsidR="00A60B91" w:rsidRPr="00883315" w:rsidRDefault="00A60B91" w:rsidP="000661C4">
            <w:pPr>
              <w:rPr>
                <w:rFonts w:ascii="Humnst777 Lt BT" w:hAnsi="Humnst777 Lt BT"/>
                <w:sz w:val="22"/>
                <w:szCs w:val="22"/>
              </w:rPr>
            </w:pPr>
          </w:p>
        </w:tc>
      </w:tr>
      <w:tr w:rsidR="00A60B91" w14:paraId="132C1169" w14:textId="77777777" w:rsidTr="003C5D02">
        <w:trPr>
          <w:jc w:val="center"/>
        </w:trPr>
        <w:tc>
          <w:tcPr>
            <w:tcW w:w="11208" w:type="dxa"/>
            <w:shd w:val="clear" w:color="auto" w:fill="auto"/>
          </w:tcPr>
          <w:p w14:paraId="4885839B" w14:textId="77777777" w:rsidR="00A60B91" w:rsidRPr="00883315" w:rsidRDefault="00A60B91" w:rsidP="002A37A1">
            <w:pPr>
              <w:ind w:left="25"/>
              <w:rPr>
                <w:rFonts w:ascii="Humnst777 Lt BT" w:eastAsia="Humnst777 Lt BT" w:hAnsi="Humnst777 Lt BT" w:cs="Humnst777 Lt BT"/>
                <w:sz w:val="22"/>
                <w:szCs w:val="22"/>
              </w:rPr>
            </w:pPr>
            <w:r w:rsidRPr="00883315">
              <w:rPr>
                <w:rFonts w:ascii="Humnst777 Lt BT" w:eastAsia="Humnst777 Lt BT" w:hAnsi="Humnst777 Lt BT" w:cs="Humnst777 Lt BT"/>
                <w:sz w:val="22"/>
                <w:szCs w:val="22"/>
              </w:rPr>
              <w:t>Data on performance against SLS/As (where relevant)</w:t>
            </w:r>
          </w:p>
        </w:tc>
        <w:tc>
          <w:tcPr>
            <w:tcW w:w="1559" w:type="dxa"/>
            <w:shd w:val="clear" w:color="auto" w:fill="auto"/>
          </w:tcPr>
          <w:p w14:paraId="4516B50A" w14:textId="77777777" w:rsidR="00A60B91" w:rsidRPr="00883315" w:rsidRDefault="00A60B91" w:rsidP="000661C4">
            <w:pPr>
              <w:rPr>
                <w:rFonts w:ascii="Humnst777 Lt BT" w:hAnsi="Humnst777 Lt BT"/>
                <w:sz w:val="22"/>
                <w:szCs w:val="22"/>
              </w:rPr>
            </w:pPr>
          </w:p>
        </w:tc>
      </w:tr>
      <w:tr w:rsidR="00A60B91" w14:paraId="19615F6E" w14:textId="77777777" w:rsidTr="003C5D02">
        <w:trPr>
          <w:jc w:val="center"/>
        </w:trPr>
        <w:tc>
          <w:tcPr>
            <w:tcW w:w="11208" w:type="dxa"/>
            <w:shd w:val="clear" w:color="auto" w:fill="auto"/>
          </w:tcPr>
          <w:p w14:paraId="1CA49548" w14:textId="7F5E8ADD" w:rsidR="00A60B91" w:rsidRPr="00883315" w:rsidRDefault="00A60B91" w:rsidP="00931CD5">
            <w:pPr>
              <w:ind w:left="25"/>
              <w:rPr>
                <w:rFonts w:ascii="Humnst777 Lt BT" w:eastAsia="Humnst777 Lt BT" w:hAnsi="Humnst777 Lt BT" w:cs="Humnst777 Lt BT"/>
                <w:sz w:val="22"/>
                <w:szCs w:val="22"/>
              </w:rPr>
            </w:pPr>
            <w:r w:rsidRPr="00883315">
              <w:rPr>
                <w:rFonts w:ascii="Humnst777 Lt BT" w:eastAsia="Humnst777 Lt BT" w:hAnsi="Humnst777 Lt BT" w:cs="Humnst777 Lt BT"/>
                <w:sz w:val="22"/>
                <w:szCs w:val="22"/>
              </w:rPr>
              <w:t>Student Survey data – National Student Survey (NSS), UK Engagement Survey (UKES), Postgraduate Taught Experience Survey (PTES), Postgraduate Research Experience Survey (PRES)</w:t>
            </w:r>
            <w:r w:rsidR="00997059">
              <w:rPr>
                <w:rFonts w:ascii="Humnst777 Lt BT" w:eastAsia="Humnst777 Lt BT" w:hAnsi="Humnst777 Lt BT" w:cs="Humnst777 Lt BT"/>
                <w:sz w:val="22"/>
                <w:szCs w:val="22"/>
              </w:rPr>
              <w:t>, Destinations of Leavers from Higher Education (DLHE)</w:t>
            </w:r>
            <w:r w:rsidR="00703160">
              <w:rPr>
                <w:rFonts w:ascii="Humnst777 Lt BT" w:eastAsia="Humnst777 Lt BT" w:hAnsi="Humnst777 Lt BT" w:cs="Humnst777 Lt BT"/>
                <w:sz w:val="22"/>
                <w:szCs w:val="22"/>
              </w:rPr>
              <w:t xml:space="preserve">/Longitudinal Employment Outcomes (LEO) </w:t>
            </w:r>
            <w:r w:rsidRPr="00883315">
              <w:rPr>
                <w:rFonts w:ascii="Humnst777 Lt BT" w:eastAsia="Humnst777 Lt BT" w:hAnsi="Humnst777 Lt BT" w:cs="Humnst777 Lt BT"/>
                <w:sz w:val="22"/>
                <w:szCs w:val="22"/>
              </w:rPr>
              <w:t xml:space="preserve"> (where relevant)</w:t>
            </w:r>
          </w:p>
        </w:tc>
        <w:tc>
          <w:tcPr>
            <w:tcW w:w="1559" w:type="dxa"/>
            <w:shd w:val="clear" w:color="auto" w:fill="auto"/>
          </w:tcPr>
          <w:p w14:paraId="70FF9E1B" w14:textId="77777777" w:rsidR="00A60B91" w:rsidRPr="00883315" w:rsidRDefault="00A60B91" w:rsidP="000661C4">
            <w:pPr>
              <w:rPr>
                <w:rFonts w:ascii="Humnst777 Lt BT" w:hAnsi="Humnst777 Lt BT"/>
                <w:sz w:val="22"/>
                <w:szCs w:val="22"/>
              </w:rPr>
            </w:pPr>
          </w:p>
        </w:tc>
      </w:tr>
      <w:tr w:rsidR="00703160" w14:paraId="3DDF43BF" w14:textId="77777777" w:rsidTr="003C5D02">
        <w:trPr>
          <w:jc w:val="center"/>
        </w:trPr>
        <w:tc>
          <w:tcPr>
            <w:tcW w:w="11208" w:type="dxa"/>
            <w:shd w:val="clear" w:color="auto" w:fill="auto"/>
          </w:tcPr>
          <w:p w14:paraId="6621AD22" w14:textId="142144F8" w:rsidR="00703160" w:rsidRPr="00883315" w:rsidRDefault="00703160" w:rsidP="00931CD5">
            <w:pPr>
              <w:ind w:left="25"/>
              <w:rPr>
                <w:rFonts w:ascii="Humnst777 Lt BT" w:eastAsia="Humnst777 Lt BT" w:hAnsi="Humnst777 Lt BT" w:cs="Humnst777 Lt BT"/>
                <w:sz w:val="22"/>
                <w:szCs w:val="22"/>
              </w:rPr>
            </w:pPr>
            <w:r>
              <w:rPr>
                <w:rFonts w:ascii="Humnst777 Lt BT" w:eastAsia="Humnst777 Lt BT" w:hAnsi="Humnst777 Lt BT" w:cs="Humnst777 Lt BT"/>
                <w:sz w:val="22"/>
                <w:szCs w:val="22"/>
              </w:rPr>
              <w:t>Complaints</w:t>
            </w:r>
          </w:p>
        </w:tc>
        <w:tc>
          <w:tcPr>
            <w:tcW w:w="1559" w:type="dxa"/>
            <w:shd w:val="clear" w:color="auto" w:fill="auto"/>
          </w:tcPr>
          <w:p w14:paraId="34FBE079" w14:textId="77777777" w:rsidR="00703160" w:rsidRPr="00883315" w:rsidRDefault="00703160" w:rsidP="000661C4">
            <w:pPr>
              <w:rPr>
                <w:rFonts w:ascii="Humnst777 Lt BT" w:hAnsi="Humnst777 Lt BT"/>
                <w:sz w:val="22"/>
                <w:szCs w:val="22"/>
              </w:rPr>
            </w:pPr>
          </w:p>
        </w:tc>
      </w:tr>
      <w:tr w:rsidR="00703160" w14:paraId="0AFB23EF" w14:textId="77777777" w:rsidTr="003C5D02">
        <w:trPr>
          <w:jc w:val="center"/>
        </w:trPr>
        <w:tc>
          <w:tcPr>
            <w:tcW w:w="11208" w:type="dxa"/>
            <w:shd w:val="clear" w:color="auto" w:fill="auto"/>
          </w:tcPr>
          <w:p w14:paraId="17A2CC0C" w14:textId="1ED50F81" w:rsidR="00703160" w:rsidRDefault="00703160" w:rsidP="00703160">
            <w:pPr>
              <w:ind w:left="25"/>
              <w:rPr>
                <w:rFonts w:ascii="Humnst777 Lt BT" w:eastAsia="Humnst777 Lt BT" w:hAnsi="Humnst777 Lt BT" w:cs="Humnst777 Lt BT"/>
                <w:sz w:val="22"/>
                <w:szCs w:val="22"/>
              </w:rPr>
            </w:pPr>
            <w:r>
              <w:rPr>
                <w:rFonts w:ascii="Humnst777 Lt BT" w:eastAsia="Humnst777 Lt BT" w:hAnsi="Humnst777 Lt BT" w:cs="Humnst777 Lt BT"/>
                <w:sz w:val="22"/>
                <w:szCs w:val="22"/>
              </w:rPr>
              <w:t>i-zone Data</w:t>
            </w:r>
          </w:p>
        </w:tc>
        <w:tc>
          <w:tcPr>
            <w:tcW w:w="1559" w:type="dxa"/>
            <w:shd w:val="clear" w:color="auto" w:fill="auto"/>
          </w:tcPr>
          <w:p w14:paraId="5B7AA43A" w14:textId="77777777" w:rsidR="00703160" w:rsidRPr="00767F71" w:rsidRDefault="00703160" w:rsidP="000661C4">
            <w:pPr>
              <w:rPr>
                <w:rFonts w:ascii="Humnst777 Lt BT" w:eastAsia="Humnst777 Lt BT" w:hAnsi="Humnst777 Lt BT" w:cs="Humnst777 Lt BT"/>
                <w:sz w:val="22"/>
                <w:szCs w:val="22"/>
              </w:rPr>
            </w:pPr>
          </w:p>
        </w:tc>
      </w:tr>
      <w:tr w:rsidR="00597DA2" w14:paraId="4EF88543" w14:textId="77777777" w:rsidTr="003C5D02">
        <w:trPr>
          <w:jc w:val="center"/>
        </w:trPr>
        <w:tc>
          <w:tcPr>
            <w:tcW w:w="11208" w:type="dxa"/>
            <w:shd w:val="clear" w:color="auto" w:fill="auto"/>
          </w:tcPr>
          <w:p w14:paraId="4796CEE9" w14:textId="0858428D" w:rsidR="00597DA2" w:rsidRPr="00883315" w:rsidRDefault="00597DA2" w:rsidP="00E6014A">
            <w:pPr>
              <w:ind w:left="25"/>
              <w:rPr>
                <w:rFonts w:ascii="Humnst777 Lt BT" w:eastAsia="Humnst777 Lt BT" w:hAnsi="Humnst777 Lt BT" w:cs="Humnst777 Lt BT"/>
                <w:sz w:val="22"/>
                <w:szCs w:val="22"/>
              </w:rPr>
            </w:pPr>
            <w:r>
              <w:rPr>
                <w:rFonts w:ascii="Humnst777 Lt BT" w:eastAsia="Humnst777 Lt BT" w:hAnsi="Humnst777 Lt BT" w:cs="Humnst777 Lt BT"/>
                <w:sz w:val="22"/>
                <w:szCs w:val="22"/>
              </w:rPr>
              <w:t xml:space="preserve">Feedback from staff </w:t>
            </w:r>
            <w:r w:rsidR="00931CD5">
              <w:rPr>
                <w:rFonts w:ascii="Humnst777 Lt BT" w:eastAsia="Humnst777 Lt BT" w:hAnsi="Humnst777 Lt BT" w:cs="Humnst777 Lt BT"/>
                <w:sz w:val="22"/>
                <w:szCs w:val="22"/>
              </w:rPr>
              <w:t>and other stakeholders</w:t>
            </w:r>
            <w:r>
              <w:rPr>
                <w:rFonts w:ascii="Humnst777 Lt BT" w:eastAsia="Humnst777 Lt BT" w:hAnsi="Humnst777 Lt BT" w:cs="Humnst777 Lt BT"/>
                <w:sz w:val="22"/>
                <w:szCs w:val="22"/>
              </w:rPr>
              <w:t xml:space="preserve"> (survey</w:t>
            </w:r>
            <w:r w:rsidR="00703160">
              <w:rPr>
                <w:rFonts w:ascii="Humnst777 Lt BT" w:eastAsia="Humnst777 Lt BT" w:hAnsi="Humnst777 Lt BT" w:cs="Humnst777 Lt BT"/>
                <w:sz w:val="22"/>
                <w:szCs w:val="22"/>
              </w:rPr>
              <w:t>s</w:t>
            </w:r>
            <w:r>
              <w:rPr>
                <w:rFonts w:ascii="Humnst777 Lt BT" w:eastAsia="Humnst777 Lt BT" w:hAnsi="Humnst777 Lt BT" w:cs="Humnst777 Lt BT"/>
                <w:sz w:val="22"/>
                <w:szCs w:val="22"/>
              </w:rPr>
              <w:t xml:space="preserve">, e-mail </w:t>
            </w:r>
            <w:r w:rsidR="00931CD5">
              <w:rPr>
                <w:rFonts w:ascii="Humnst777 Lt BT" w:eastAsia="Humnst777 Lt BT" w:hAnsi="Humnst777 Lt BT" w:cs="Humnst777 Lt BT"/>
                <w:sz w:val="22"/>
                <w:szCs w:val="22"/>
              </w:rPr>
              <w:t xml:space="preserve">feedback </w:t>
            </w:r>
            <w:r>
              <w:rPr>
                <w:rFonts w:ascii="Humnst777 Lt BT" w:eastAsia="Humnst777 Lt BT" w:hAnsi="Humnst777 Lt BT" w:cs="Humnst777 Lt BT"/>
                <w:sz w:val="22"/>
                <w:szCs w:val="22"/>
              </w:rPr>
              <w:t>or more informal channels)</w:t>
            </w:r>
          </w:p>
        </w:tc>
        <w:tc>
          <w:tcPr>
            <w:tcW w:w="1559" w:type="dxa"/>
            <w:shd w:val="clear" w:color="auto" w:fill="auto"/>
          </w:tcPr>
          <w:p w14:paraId="7F8C9336" w14:textId="77777777" w:rsidR="00597DA2" w:rsidRPr="00767F71" w:rsidRDefault="00597DA2" w:rsidP="000661C4">
            <w:pPr>
              <w:rPr>
                <w:rFonts w:ascii="Humnst777 Lt BT" w:eastAsia="Humnst777 Lt BT" w:hAnsi="Humnst777 Lt BT" w:cs="Humnst777 Lt BT"/>
                <w:sz w:val="22"/>
                <w:szCs w:val="22"/>
              </w:rPr>
            </w:pPr>
          </w:p>
        </w:tc>
      </w:tr>
      <w:tr w:rsidR="00A60B91" w14:paraId="6D1B2107" w14:textId="77777777" w:rsidTr="003C5D02">
        <w:trPr>
          <w:trHeight w:val="680"/>
          <w:jc w:val="center"/>
        </w:trPr>
        <w:tc>
          <w:tcPr>
            <w:tcW w:w="11208" w:type="dxa"/>
            <w:shd w:val="clear" w:color="auto" w:fill="auto"/>
          </w:tcPr>
          <w:p w14:paraId="2F1D44EA" w14:textId="77777777" w:rsidR="00A60B91" w:rsidRPr="00883315" w:rsidRDefault="00A60B91" w:rsidP="002A37A1">
            <w:pPr>
              <w:ind w:left="25"/>
              <w:rPr>
                <w:rFonts w:ascii="Humnst777 Lt BT" w:eastAsia="Humnst777 Lt BT" w:hAnsi="Humnst777 Lt BT" w:cs="Humnst777 Lt BT"/>
                <w:sz w:val="22"/>
                <w:szCs w:val="22"/>
              </w:rPr>
            </w:pPr>
            <w:r w:rsidRPr="00883315">
              <w:rPr>
                <w:rFonts w:ascii="Humnst777 Lt BT" w:eastAsia="Humnst777 Lt BT" w:hAnsi="Humnst777 Lt BT" w:cs="Humnst777 Lt BT"/>
                <w:sz w:val="22"/>
                <w:szCs w:val="22"/>
              </w:rPr>
              <w:t>Reports required for External Reporting Mechanisms (where relevant)</w:t>
            </w:r>
          </w:p>
        </w:tc>
        <w:tc>
          <w:tcPr>
            <w:tcW w:w="1559" w:type="dxa"/>
            <w:shd w:val="clear" w:color="auto" w:fill="auto"/>
          </w:tcPr>
          <w:p w14:paraId="10E99C3A" w14:textId="77777777" w:rsidR="00A60B91" w:rsidRPr="00767F71" w:rsidRDefault="00A60B91" w:rsidP="000661C4">
            <w:pPr>
              <w:rPr>
                <w:rFonts w:ascii="Humnst777 Lt BT" w:eastAsia="Humnst777 Lt BT" w:hAnsi="Humnst777 Lt BT" w:cs="Humnst777 Lt BT"/>
                <w:sz w:val="22"/>
                <w:szCs w:val="22"/>
              </w:rPr>
            </w:pPr>
          </w:p>
        </w:tc>
      </w:tr>
    </w:tbl>
    <w:p w14:paraId="44CF0014" w14:textId="77777777" w:rsidR="00A60B91" w:rsidRPr="00E75D41" w:rsidRDefault="00A60B91" w:rsidP="00A60B91">
      <w:pPr>
        <w:ind w:left="567"/>
        <w:rPr>
          <w:rFonts w:ascii="Humnst777 Lt BT" w:hAnsi="Humnst777 Lt BT"/>
        </w:rPr>
      </w:pPr>
    </w:p>
    <w:p w14:paraId="6A02A839" w14:textId="5496FA58" w:rsidR="00703160" w:rsidRDefault="00703160" w:rsidP="00A60B91">
      <w:pPr>
        <w:ind w:left="567"/>
        <w:rPr>
          <w:rFonts w:ascii="Humnst777 Lt BT" w:hAnsi="Humnst777 Lt BT"/>
        </w:rPr>
      </w:pPr>
      <w:r>
        <w:rPr>
          <w:rFonts w:ascii="Humnst777 Lt BT" w:hAnsi="Humnst777 Lt BT"/>
        </w:rPr>
        <w:t>Where additional sources of evidence or feedback have been used they should be listed below:</w:t>
      </w:r>
    </w:p>
    <w:tbl>
      <w:tblPr>
        <w:tblStyle w:val="TableGrid"/>
        <w:tblW w:w="0" w:type="auto"/>
        <w:tblInd w:w="567" w:type="dxa"/>
        <w:tblLook w:val="04A0" w:firstRow="1" w:lastRow="0" w:firstColumn="1" w:lastColumn="0" w:noHBand="0" w:noVBand="1"/>
      </w:tblPr>
      <w:tblGrid>
        <w:gridCol w:w="13381"/>
      </w:tblGrid>
      <w:tr w:rsidR="0066155B" w14:paraId="01B2FF41" w14:textId="77777777" w:rsidTr="001F0BEA">
        <w:tc>
          <w:tcPr>
            <w:tcW w:w="13381" w:type="dxa"/>
          </w:tcPr>
          <w:p w14:paraId="70CC8294" w14:textId="77777777" w:rsidR="0066155B" w:rsidRDefault="0066155B" w:rsidP="00A60B91">
            <w:pPr>
              <w:rPr>
                <w:rFonts w:ascii="Humnst777 Lt BT" w:hAnsi="Humnst777 Lt BT"/>
              </w:rPr>
            </w:pPr>
          </w:p>
          <w:p w14:paraId="3EC38AAE" w14:textId="77777777" w:rsidR="00233D5D" w:rsidRDefault="00233D5D" w:rsidP="00E6014A">
            <w:pPr>
              <w:tabs>
                <w:tab w:val="left" w:pos="3210"/>
              </w:tabs>
              <w:ind w:firstLine="720"/>
              <w:rPr>
                <w:rFonts w:ascii="Humnst777 Lt BT" w:hAnsi="Humnst777 Lt BT"/>
              </w:rPr>
            </w:pPr>
          </w:p>
          <w:p w14:paraId="0C24AAC9" w14:textId="77777777" w:rsidR="00233D5D" w:rsidRDefault="00233D5D" w:rsidP="00E6014A">
            <w:pPr>
              <w:tabs>
                <w:tab w:val="left" w:pos="3210"/>
              </w:tabs>
              <w:ind w:firstLine="720"/>
              <w:rPr>
                <w:rFonts w:ascii="Humnst777 Lt BT" w:hAnsi="Humnst777 Lt BT"/>
              </w:rPr>
            </w:pPr>
          </w:p>
          <w:p w14:paraId="29AA34A9" w14:textId="5C322E3C" w:rsidR="0066155B" w:rsidRDefault="00E6014A" w:rsidP="00E6014A">
            <w:pPr>
              <w:tabs>
                <w:tab w:val="left" w:pos="3210"/>
              </w:tabs>
              <w:ind w:firstLine="720"/>
              <w:rPr>
                <w:rFonts w:ascii="Humnst777 Lt BT" w:hAnsi="Humnst777 Lt BT"/>
              </w:rPr>
            </w:pPr>
            <w:r>
              <w:rPr>
                <w:rFonts w:ascii="Humnst777 Lt BT" w:hAnsi="Humnst777 Lt BT"/>
              </w:rPr>
              <w:tab/>
            </w:r>
          </w:p>
        </w:tc>
      </w:tr>
    </w:tbl>
    <w:p w14:paraId="06A87129" w14:textId="77777777" w:rsidR="00C13E8C" w:rsidRDefault="00C13E8C" w:rsidP="00A60B91">
      <w:pPr>
        <w:ind w:left="567"/>
        <w:rPr>
          <w:rFonts w:ascii="Humnst777 Lt BT" w:hAnsi="Humnst777 Lt BT"/>
        </w:rPr>
      </w:pPr>
    </w:p>
    <w:p w14:paraId="5442E6E4" w14:textId="01E343B0" w:rsidR="00A60B91" w:rsidRDefault="00A60B91" w:rsidP="00A60B91">
      <w:pPr>
        <w:ind w:left="567"/>
        <w:rPr>
          <w:rFonts w:ascii="Humnst777 Lt BT" w:hAnsi="Humnst777 Lt BT"/>
        </w:rPr>
      </w:pPr>
      <w:r>
        <w:rPr>
          <w:rFonts w:ascii="Humnst777 Lt BT" w:hAnsi="Humnst777 Lt BT"/>
        </w:rPr>
        <w:t xml:space="preserve">If any of the above evidence sources have not been reviewed </w:t>
      </w:r>
      <w:r w:rsidR="00313218">
        <w:rPr>
          <w:rFonts w:ascii="Humnst777 Lt BT" w:hAnsi="Humnst777 Lt BT"/>
        </w:rPr>
        <w:t xml:space="preserve">in order </w:t>
      </w:r>
      <w:r w:rsidR="00931CD5">
        <w:rPr>
          <w:rFonts w:ascii="Humnst777 Lt BT" w:hAnsi="Humnst777 Lt BT"/>
        </w:rPr>
        <w:t>to produce</w:t>
      </w:r>
      <w:r>
        <w:rPr>
          <w:rFonts w:ascii="Humnst777 Lt BT" w:hAnsi="Humnst777 Lt BT"/>
        </w:rPr>
        <w:t xml:space="preserve"> the report (except in cases where it is clear above that it may not be applicable to all </w:t>
      </w:r>
      <w:r w:rsidR="0050789C">
        <w:rPr>
          <w:rFonts w:ascii="Humnst777 Lt BT" w:hAnsi="Humnst777 Lt BT"/>
        </w:rPr>
        <w:t>departments</w:t>
      </w:r>
      <w:r>
        <w:rPr>
          <w:rFonts w:ascii="Humnst777 Lt BT" w:hAnsi="Humnst777 Lt BT"/>
        </w:rPr>
        <w:t>) please provide an explanation below:</w:t>
      </w:r>
    </w:p>
    <w:p w14:paraId="3DC2F6CF" w14:textId="77777777" w:rsidR="0066155B" w:rsidRDefault="00A60B91" w:rsidP="00A60B91">
      <w:pPr>
        <w:ind w:left="567"/>
        <w:rPr>
          <w:rFonts w:ascii="Humnst777 Lt BT" w:hAnsi="Humnst777 Lt BT"/>
          <w:b/>
        </w:rPr>
      </w:pPr>
      <w:r>
        <w:rPr>
          <w:rFonts w:ascii="Humnst777 Lt BT" w:hAnsi="Humnst777 Lt BT"/>
        </w:rPr>
        <w:t xml:space="preserve"> </w:t>
      </w:r>
    </w:p>
    <w:tbl>
      <w:tblPr>
        <w:tblStyle w:val="TableGrid"/>
        <w:tblW w:w="0" w:type="auto"/>
        <w:tblInd w:w="567" w:type="dxa"/>
        <w:tblLook w:val="04A0" w:firstRow="1" w:lastRow="0" w:firstColumn="1" w:lastColumn="0" w:noHBand="0" w:noVBand="1"/>
      </w:tblPr>
      <w:tblGrid>
        <w:gridCol w:w="13381"/>
      </w:tblGrid>
      <w:tr w:rsidR="0066155B" w14:paraId="5EAC45B0" w14:textId="77777777" w:rsidTr="0066155B">
        <w:tc>
          <w:tcPr>
            <w:tcW w:w="13948" w:type="dxa"/>
          </w:tcPr>
          <w:p w14:paraId="62218583" w14:textId="77777777" w:rsidR="0066155B" w:rsidRDefault="0066155B" w:rsidP="00A60B91">
            <w:pPr>
              <w:rPr>
                <w:rFonts w:ascii="Humnst777 Lt BT" w:hAnsi="Humnst777 Lt BT"/>
                <w:b/>
              </w:rPr>
            </w:pPr>
          </w:p>
          <w:p w14:paraId="0A9D1A25" w14:textId="77777777" w:rsidR="0066155B" w:rsidRDefault="0066155B" w:rsidP="00A60B91">
            <w:pPr>
              <w:rPr>
                <w:rFonts w:ascii="Humnst777 Lt BT" w:hAnsi="Humnst777 Lt BT"/>
                <w:b/>
              </w:rPr>
            </w:pPr>
          </w:p>
          <w:p w14:paraId="45558473" w14:textId="77777777" w:rsidR="0066155B" w:rsidRDefault="0066155B" w:rsidP="00A60B91">
            <w:pPr>
              <w:rPr>
                <w:rFonts w:ascii="Humnst777 Lt BT" w:hAnsi="Humnst777 Lt BT"/>
                <w:b/>
              </w:rPr>
            </w:pPr>
          </w:p>
          <w:p w14:paraId="7F79919E" w14:textId="77777777" w:rsidR="0066155B" w:rsidRDefault="0066155B" w:rsidP="00A60B91">
            <w:pPr>
              <w:rPr>
                <w:rFonts w:ascii="Humnst777 Lt BT" w:hAnsi="Humnst777 Lt BT"/>
                <w:b/>
              </w:rPr>
            </w:pPr>
          </w:p>
          <w:p w14:paraId="3CCA549E" w14:textId="77777777" w:rsidR="0066155B" w:rsidRDefault="0066155B" w:rsidP="00A60B91">
            <w:pPr>
              <w:rPr>
                <w:rFonts w:ascii="Humnst777 Lt BT" w:hAnsi="Humnst777 Lt BT"/>
                <w:b/>
              </w:rPr>
            </w:pPr>
          </w:p>
          <w:p w14:paraId="0D0B3EE9" w14:textId="77777777" w:rsidR="0066155B" w:rsidRDefault="0066155B" w:rsidP="00A60B91">
            <w:pPr>
              <w:rPr>
                <w:rFonts w:ascii="Humnst777 Lt BT" w:hAnsi="Humnst777 Lt BT"/>
                <w:b/>
              </w:rPr>
            </w:pPr>
          </w:p>
          <w:p w14:paraId="36286863" w14:textId="77777777" w:rsidR="0066155B" w:rsidRDefault="0066155B" w:rsidP="00A60B91">
            <w:pPr>
              <w:rPr>
                <w:rFonts w:ascii="Humnst777 Lt BT" w:hAnsi="Humnst777 Lt BT"/>
                <w:b/>
              </w:rPr>
            </w:pPr>
          </w:p>
          <w:p w14:paraId="74CC5A2C" w14:textId="54DCD01A" w:rsidR="0066155B" w:rsidRDefault="0066155B" w:rsidP="00A60B91">
            <w:pPr>
              <w:rPr>
                <w:rFonts w:ascii="Humnst777 Lt BT" w:hAnsi="Humnst777 Lt BT"/>
                <w:b/>
              </w:rPr>
            </w:pPr>
          </w:p>
        </w:tc>
      </w:tr>
    </w:tbl>
    <w:p w14:paraId="1D5B0DF5" w14:textId="586AE97F" w:rsidR="00A60B91" w:rsidRDefault="00A60B91" w:rsidP="00A60B91">
      <w:pPr>
        <w:ind w:left="567"/>
        <w:rPr>
          <w:rFonts w:ascii="Humnst777 Lt BT" w:hAnsi="Humnst777 Lt BT"/>
          <w:b/>
        </w:rPr>
      </w:pPr>
    </w:p>
    <w:p w14:paraId="188CA51A" w14:textId="77777777" w:rsidR="005A0BB9" w:rsidRDefault="005A0BB9" w:rsidP="00A60B91">
      <w:pPr>
        <w:ind w:left="567"/>
        <w:rPr>
          <w:rFonts w:ascii="Humnst777 Lt BT" w:hAnsi="Humnst777 Lt BT"/>
          <w:b/>
        </w:rPr>
      </w:pPr>
    </w:p>
    <w:p w14:paraId="49333670" w14:textId="59E8F0CE" w:rsidR="00A60B91" w:rsidRDefault="005A0BB9" w:rsidP="005A0BB9">
      <w:pPr>
        <w:pStyle w:val="SectionHeading"/>
        <w:ind w:left="426"/>
      </w:pPr>
      <w:r>
        <w:t>SECTION 2 – OVERVIEW COMMENTARY</w:t>
      </w:r>
    </w:p>
    <w:p w14:paraId="4CBC36A3" w14:textId="32A633B4" w:rsidR="009E77FE" w:rsidRDefault="00A60B91" w:rsidP="00A60B91">
      <w:pPr>
        <w:pStyle w:val="ListParagraph"/>
        <w:ind w:left="567"/>
        <w:rPr>
          <w:rFonts w:ascii="Humnst777 Lt BT" w:hAnsi="Humnst777 Lt BT"/>
          <w:i/>
        </w:rPr>
      </w:pPr>
      <w:r>
        <w:rPr>
          <w:rFonts w:ascii="Humnst777 Lt BT" w:hAnsi="Humnst777 Lt BT"/>
          <w:i/>
        </w:rPr>
        <w:t xml:space="preserve">Provide a </w:t>
      </w:r>
      <w:r w:rsidR="005D29E9" w:rsidRPr="001F0BEA">
        <w:rPr>
          <w:rFonts w:ascii="Humnst777 Lt BT" w:hAnsi="Humnst777 Lt BT"/>
          <w:b/>
          <w:i/>
        </w:rPr>
        <w:t>brief</w:t>
      </w:r>
      <w:r w:rsidR="005D29E9">
        <w:rPr>
          <w:rFonts w:ascii="Humnst777 Lt BT" w:hAnsi="Humnst777 Lt BT"/>
          <w:i/>
        </w:rPr>
        <w:t xml:space="preserve"> </w:t>
      </w:r>
      <w:r>
        <w:rPr>
          <w:rFonts w:ascii="Humnst777 Lt BT" w:hAnsi="Humnst777 Lt BT"/>
          <w:i/>
        </w:rPr>
        <w:t xml:space="preserve">summary of the key developments </w:t>
      </w:r>
      <w:r w:rsidR="00931CD5">
        <w:rPr>
          <w:rFonts w:ascii="Humnst777 Lt BT" w:hAnsi="Humnst777 Lt BT"/>
          <w:i/>
        </w:rPr>
        <w:t xml:space="preserve">during </w:t>
      </w:r>
      <w:r>
        <w:rPr>
          <w:rFonts w:ascii="Humnst777 Lt BT" w:hAnsi="Humnst777 Lt BT"/>
          <w:i/>
        </w:rPr>
        <w:t>the last academic year</w:t>
      </w:r>
      <w:r w:rsidR="009E77FE">
        <w:rPr>
          <w:rFonts w:ascii="Humnst777 Lt BT" w:hAnsi="Humnst777 Lt BT"/>
          <w:i/>
        </w:rPr>
        <w:t xml:space="preserve"> that are not business as usual</w:t>
      </w:r>
      <w:r w:rsidR="002C5A94">
        <w:rPr>
          <w:rFonts w:ascii="Humnst777 Lt BT" w:hAnsi="Humnst777 Lt BT"/>
          <w:i/>
        </w:rPr>
        <w:t xml:space="preserve"> </w:t>
      </w:r>
      <w:r w:rsidR="00931CD5">
        <w:rPr>
          <w:rFonts w:ascii="Humnst777 Lt BT" w:hAnsi="Humnst777 Lt BT"/>
          <w:i/>
        </w:rPr>
        <w:t>activities</w:t>
      </w:r>
      <w:r>
        <w:rPr>
          <w:rFonts w:ascii="Humnst777 Lt BT" w:hAnsi="Humnst777 Lt BT"/>
          <w:i/>
        </w:rPr>
        <w:t xml:space="preserve"> and the key </w:t>
      </w:r>
      <w:r w:rsidR="002A37A1">
        <w:rPr>
          <w:rFonts w:ascii="Humnst777 Lt BT" w:hAnsi="Humnst777 Lt BT"/>
          <w:i/>
        </w:rPr>
        <w:t xml:space="preserve">emerging </w:t>
      </w:r>
      <w:r>
        <w:rPr>
          <w:rFonts w:ascii="Humnst777 Lt BT" w:hAnsi="Humnst777 Lt BT"/>
          <w:i/>
        </w:rPr>
        <w:t>issues arising from</w:t>
      </w:r>
      <w:r w:rsidR="009E77FE">
        <w:rPr>
          <w:rFonts w:ascii="Humnst777 Lt BT" w:hAnsi="Humnst777 Lt BT"/>
          <w:i/>
        </w:rPr>
        <w:t>:</w:t>
      </w:r>
    </w:p>
    <w:p w14:paraId="15636542" w14:textId="25ECD934" w:rsidR="00E6014A" w:rsidRDefault="00E6014A" w:rsidP="00767F71">
      <w:pPr>
        <w:pStyle w:val="ListParagraph"/>
        <w:numPr>
          <w:ilvl w:val="0"/>
          <w:numId w:val="5"/>
        </w:numPr>
        <w:ind w:left="1134"/>
        <w:rPr>
          <w:rFonts w:ascii="Humnst777 Lt BT" w:hAnsi="Humnst777 Lt BT"/>
          <w:i/>
        </w:rPr>
      </w:pPr>
      <w:r>
        <w:rPr>
          <w:rFonts w:ascii="Humnst777 Lt BT" w:hAnsi="Humnst777 Lt BT"/>
          <w:i/>
        </w:rPr>
        <w:t>quality concerns from previous Business Plan which have not been resolved (carry over in action plan)</w:t>
      </w:r>
    </w:p>
    <w:p w14:paraId="6B88DDC9" w14:textId="22E063DA" w:rsidR="009E77FE" w:rsidRDefault="00A60B91" w:rsidP="00767F71">
      <w:pPr>
        <w:pStyle w:val="ListParagraph"/>
        <w:numPr>
          <w:ilvl w:val="0"/>
          <w:numId w:val="5"/>
        </w:numPr>
        <w:ind w:left="1134"/>
        <w:rPr>
          <w:rFonts w:ascii="Humnst777 Lt BT" w:hAnsi="Humnst777 Lt BT"/>
          <w:i/>
        </w:rPr>
      </w:pPr>
      <w:r>
        <w:rPr>
          <w:rFonts w:ascii="Humnst777 Lt BT" w:hAnsi="Humnst777 Lt BT"/>
          <w:i/>
        </w:rPr>
        <w:t>the review of evidence</w:t>
      </w:r>
    </w:p>
    <w:p w14:paraId="358BA6A8" w14:textId="61B74A8A" w:rsidR="002A37A1" w:rsidRDefault="00A60B91" w:rsidP="00767F71">
      <w:pPr>
        <w:pStyle w:val="ListParagraph"/>
        <w:numPr>
          <w:ilvl w:val="0"/>
          <w:numId w:val="5"/>
        </w:numPr>
        <w:ind w:left="1134"/>
        <w:rPr>
          <w:rFonts w:ascii="Humnst777 Lt BT" w:hAnsi="Humnst777 Lt BT"/>
          <w:i/>
        </w:rPr>
      </w:pPr>
      <w:r>
        <w:rPr>
          <w:rFonts w:ascii="Humnst777 Lt BT" w:hAnsi="Humnst777 Lt BT"/>
          <w:i/>
        </w:rPr>
        <w:t xml:space="preserve">the Department’s consideration of the assessment of the impact and delivery of the Business Plan </w:t>
      </w:r>
    </w:p>
    <w:p w14:paraId="7CB1484D" w14:textId="62C7D25A" w:rsidR="005D29E9" w:rsidRDefault="0066155B" w:rsidP="00767F71">
      <w:pPr>
        <w:pStyle w:val="ListParagraph"/>
        <w:numPr>
          <w:ilvl w:val="0"/>
          <w:numId w:val="5"/>
        </w:numPr>
        <w:ind w:left="1134"/>
        <w:rPr>
          <w:rFonts w:ascii="Humnst777 Lt BT" w:hAnsi="Humnst777 Lt BT"/>
          <w:i/>
        </w:rPr>
      </w:pPr>
      <w:r>
        <w:rPr>
          <w:rFonts w:ascii="Humnst777 Lt BT" w:hAnsi="Humnst777 Lt BT"/>
          <w:i/>
        </w:rPr>
        <w:t>the Department</w:t>
      </w:r>
      <w:r w:rsidR="001F0BEA">
        <w:rPr>
          <w:rFonts w:ascii="Humnst777 Lt BT" w:hAnsi="Humnst777 Lt BT"/>
          <w:i/>
        </w:rPr>
        <w:t>’</w:t>
      </w:r>
      <w:r>
        <w:rPr>
          <w:rFonts w:ascii="Humnst777 Lt BT" w:hAnsi="Humnst777 Lt BT"/>
          <w:i/>
        </w:rPr>
        <w:t xml:space="preserve">s delivery against </w:t>
      </w:r>
      <w:r w:rsidR="002A37A1">
        <w:rPr>
          <w:rFonts w:ascii="Humnst777 Lt BT" w:hAnsi="Humnst777 Lt BT"/>
          <w:i/>
        </w:rPr>
        <w:t xml:space="preserve">the </w:t>
      </w:r>
      <w:r w:rsidR="00A60B91">
        <w:rPr>
          <w:rFonts w:ascii="Humnst777 Lt BT" w:hAnsi="Humnst777 Lt BT"/>
          <w:i/>
        </w:rPr>
        <w:t>Service Level Statement / Agreement.</w:t>
      </w:r>
    </w:p>
    <w:p w14:paraId="26DDAC9A" w14:textId="77777777" w:rsidR="00767F71" w:rsidRDefault="00767F71" w:rsidP="00767F71">
      <w:pPr>
        <w:pStyle w:val="ListParagraph"/>
        <w:ind w:left="1134"/>
        <w:rPr>
          <w:rFonts w:ascii="Humnst777 Lt BT" w:hAnsi="Humnst777 Lt BT"/>
          <w:i/>
        </w:rPr>
      </w:pPr>
    </w:p>
    <w:p w14:paraId="382F9B8C" w14:textId="08C411BF" w:rsidR="00A60B91" w:rsidRPr="007C0AC6" w:rsidRDefault="00A60B91" w:rsidP="00A60B91">
      <w:pPr>
        <w:pStyle w:val="ListParagraph"/>
        <w:ind w:left="567"/>
        <w:rPr>
          <w:rFonts w:ascii="Humnst777 Lt BT" w:hAnsi="Humnst777 Lt BT"/>
          <w:i/>
        </w:rPr>
      </w:pPr>
      <w:r>
        <w:rPr>
          <w:rFonts w:ascii="Humnst777 Lt BT" w:hAnsi="Humnst777 Lt BT"/>
          <w:i/>
        </w:rPr>
        <w:t xml:space="preserve">It is not necessary to comment where there are no particular developments </w:t>
      </w:r>
      <w:r w:rsidR="00931CD5">
        <w:rPr>
          <w:rFonts w:ascii="Humnst777 Lt BT" w:hAnsi="Humnst777 Lt BT"/>
          <w:i/>
        </w:rPr>
        <w:t xml:space="preserve">or </w:t>
      </w:r>
      <w:r>
        <w:rPr>
          <w:rFonts w:ascii="Humnst777 Lt BT" w:hAnsi="Humnst777 Lt BT"/>
          <w:i/>
        </w:rPr>
        <w:t xml:space="preserve">issues to note. The purpose of </w:t>
      </w:r>
      <w:r w:rsidR="00931CD5">
        <w:rPr>
          <w:rFonts w:ascii="Humnst777 Lt BT" w:hAnsi="Humnst777 Lt BT"/>
          <w:i/>
        </w:rPr>
        <w:t xml:space="preserve">this </w:t>
      </w:r>
      <w:r>
        <w:rPr>
          <w:rFonts w:ascii="Humnst777 Lt BT" w:hAnsi="Humnst777 Lt BT"/>
          <w:i/>
        </w:rPr>
        <w:t>overview commentary is to focus on areas that require further consideration</w:t>
      </w:r>
      <w:r w:rsidR="009E77FE">
        <w:rPr>
          <w:rFonts w:ascii="Humnst777 Lt BT" w:hAnsi="Humnst777 Lt BT"/>
          <w:i/>
        </w:rPr>
        <w:t xml:space="preserve"> and </w:t>
      </w:r>
      <w:r w:rsidR="00931CD5">
        <w:rPr>
          <w:rFonts w:ascii="Humnst777 Lt BT" w:hAnsi="Humnst777 Lt BT"/>
          <w:i/>
        </w:rPr>
        <w:t>attention by the department and/or institution</w:t>
      </w:r>
      <w:r>
        <w:rPr>
          <w:rFonts w:ascii="Humnst777 Lt BT" w:hAnsi="Humnst777 Lt BT"/>
          <w:i/>
        </w:rPr>
        <w:t xml:space="preserve"> (exception reporting) rather than providing</w:t>
      </w:r>
      <w:r w:rsidR="00931CD5">
        <w:rPr>
          <w:rFonts w:ascii="Humnst777 Lt BT" w:hAnsi="Humnst777 Lt BT"/>
          <w:i/>
        </w:rPr>
        <w:t xml:space="preserve"> a detailed</w:t>
      </w:r>
      <w:r>
        <w:rPr>
          <w:rFonts w:ascii="Humnst777 Lt BT" w:hAnsi="Humnst777 Lt BT"/>
          <w:i/>
        </w:rPr>
        <w:t xml:space="preserve"> commentary on all aspects. Actions </w:t>
      </w:r>
      <w:r w:rsidR="00931CD5">
        <w:rPr>
          <w:rFonts w:ascii="Humnst777 Lt BT" w:hAnsi="Humnst777 Lt BT"/>
          <w:i/>
        </w:rPr>
        <w:t xml:space="preserve">for the action plan below </w:t>
      </w:r>
      <w:r>
        <w:rPr>
          <w:rFonts w:ascii="Humnst777 Lt BT" w:hAnsi="Humnst777 Lt BT"/>
          <w:i/>
        </w:rPr>
        <w:t xml:space="preserve">should </w:t>
      </w:r>
      <w:r w:rsidR="009E77FE">
        <w:rPr>
          <w:rFonts w:ascii="Humnst777 Lt BT" w:hAnsi="Humnst777 Lt BT"/>
          <w:i/>
        </w:rPr>
        <w:t>emerge from the issues discussed here.</w:t>
      </w:r>
    </w:p>
    <w:p w14:paraId="156F2127" w14:textId="77777777" w:rsidR="00A60B91" w:rsidRDefault="00A60B91" w:rsidP="00A60B91">
      <w:pPr>
        <w:pStyle w:val="ListParagraph"/>
        <w:ind w:left="567"/>
        <w:rPr>
          <w:rFonts w:ascii="Humnst777 Lt BT" w:hAnsi="Humnst777 Lt BT"/>
          <w:b/>
        </w:rPr>
      </w:pPr>
    </w:p>
    <w:tbl>
      <w:tblPr>
        <w:tblStyle w:val="TableGrid"/>
        <w:tblW w:w="0" w:type="auto"/>
        <w:tblInd w:w="567" w:type="dxa"/>
        <w:tblLook w:val="04A0" w:firstRow="1" w:lastRow="0" w:firstColumn="1" w:lastColumn="0" w:noHBand="0" w:noVBand="1"/>
      </w:tblPr>
      <w:tblGrid>
        <w:gridCol w:w="13381"/>
      </w:tblGrid>
      <w:tr w:rsidR="0066155B" w14:paraId="574A5C40" w14:textId="77777777" w:rsidTr="0066155B">
        <w:tc>
          <w:tcPr>
            <w:tcW w:w="13948" w:type="dxa"/>
          </w:tcPr>
          <w:p w14:paraId="496257F8" w14:textId="77777777" w:rsidR="0066155B" w:rsidRDefault="0066155B" w:rsidP="00A60B91">
            <w:pPr>
              <w:pStyle w:val="ListParagraph"/>
              <w:ind w:left="0"/>
              <w:rPr>
                <w:rFonts w:ascii="Humnst777 Lt BT" w:hAnsi="Humnst777 Lt BT"/>
                <w:b/>
              </w:rPr>
            </w:pPr>
            <w:bookmarkStart w:id="1" w:name="_Hlk21086552"/>
          </w:p>
          <w:p w14:paraId="587686D0" w14:textId="77777777" w:rsidR="0066155B" w:rsidRDefault="0066155B" w:rsidP="00A60B91">
            <w:pPr>
              <w:pStyle w:val="ListParagraph"/>
              <w:ind w:left="0"/>
              <w:rPr>
                <w:rFonts w:ascii="Humnst777 Lt BT" w:hAnsi="Humnst777 Lt BT"/>
                <w:b/>
              </w:rPr>
            </w:pPr>
          </w:p>
          <w:p w14:paraId="0FA2634C" w14:textId="77777777" w:rsidR="0066155B" w:rsidRDefault="0066155B" w:rsidP="00A60B91">
            <w:pPr>
              <w:pStyle w:val="ListParagraph"/>
              <w:ind w:left="0"/>
              <w:rPr>
                <w:rFonts w:ascii="Humnst777 Lt BT" w:hAnsi="Humnst777 Lt BT"/>
                <w:b/>
              </w:rPr>
            </w:pPr>
          </w:p>
          <w:p w14:paraId="002645A4" w14:textId="593906C4" w:rsidR="0066155B" w:rsidRDefault="0066155B" w:rsidP="00A60B91">
            <w:pPr>
              <w:pStyle w:val="ListParagraph"/>
              <w:ind w:left="0"/>
              <w:rPr>
                <w:rFonts w:ascii="Humnst777 Lt BT" w:hAnsi="Humnst777 Lt BT"/>
                <w:b/>
              </w:rPr>
            </w:pPr>
          </w:p>
        </w:tc>
      </w:tr>
      <w:bookmarkEnd w:id="1"/>
    </w:tbl>
    <w:p w14:paraId="6357A018" w14:textId="215F3B52" w:rsidR="00A60B91" w:rsidRDefault="00A60B91" w:rsidP="00A60B91">
      <w:pPr>
        <w:pStyle w:val="ListParagraph"/>
        <w:ind w:left="567"/>
        <w:rPr>
          <w:rFonts w:ascii="Humnst777 Lt BT" w:hAnsi="Humnst777 Lt BT"/>
          <w:b/>
        </w:rPr>
      </w:pPr>
    </w:p>
    <w:p w14:paraId="5D736AFD" w14:textId="77777777" w:rsidR="005A0BB9" w:rsidRDefault="005A0BB9" w:rsidP="00A60B91">
      <w:pPr>
        <w:pStyle w:val="ListParagraph"/>
        <w:ind w:left="567"/>
        <w:rPr>
          <w:rFonts w:ascii="Humnst777 Lt BT" w:hAnsi="Humnst777 Lt BT"/>
          <w:b/>
        </w:rPr>
      </w:pPr>
    </w:p>
    <w:p w14:paraId="67EF4F58" w14:textId="30CCD0A4" w:rsidR="00A60B91" w:rsidRDefault="005A0BB9" w:rsidP="005A0BB9">
      <w:pPr>
        <w:pStyle w:val="SectionHeading"/>
        <w:ind w:left="426"/>
      </w:pPr>
      <w:r>
        <w:t>SECTION 3 – UPDATE ON LAST YEAR’S ACTION PLAN</w:t>
      </w:r>
    </w:p>
    <w:p w14:paraId="4ED64265" w14:textId="77777777" w:rsidR="00E6014A" w:rsidRDefault="006F5CFD" w:rsidP="00A60B91">
      <w:pPr>
        <w:pStyle w:val="ListParagraph"/>
        <w:ind w:left="567"/>
        <w:rPr>
          <w:rFonts w:ascii="Humnst777 Lt BT" w:hAnsi="Humnst777 Lt BT"/>
          <w:i/>
        </w:rPr>
      </w:pPr>
      <w:r>
        <w:rPr>
          <w:rFonts w:ascii="Humnst777 Lt BT" w:hAnsi="Humnst777 Lt BT"/>
          <w:i/>
        </w:rPr>
        <w:t xml:space="preserve">Insert </w:t>
      </w:r>
      <w:r w:rsidR="00A60B91">
        <w:rPr>
          <w:rFonts w:ascii="Humnst777 Lt BT" w:hAnsi="Humnst777 Lt BT"/>
          <w:i/>
        </w:rPr>
        <w:t xml:space="preserve">last year’s action plan with updated progress noted. </w:t>
      </w:r>
    </w:p>
    <w:p w14:paraId="55D8BF6A" w14:textId="77777777" w:rsidR="00E6014A" w:rsidRDefault="00E6014A" w:rsidP="00A60B91">
      <w:pPr>
        <w:pStyle w:val="ListParagraph"/>
        <w:ind w:left="567"/>
        <w:rPr>
          <w:rFonts w:ascii="Humnst777 Lt BT" w:hAnsi="Humnst777 Lt BT"/>
          <w:i/>
        </w:rPr>
      </w:pPr>
    </w:p>
    <w:p w14:paraId="62C3CA98" w14:textId="0812D742" w:rsidR="00A60B91" w:rsidRDefault="00A60B91" w:rsidP="00A60B91">
      <w:pPr>
        <w:pStyle w:val="ListParagraph"/>
        <w:ind w:left="567"/>
        <w:rPr>
          <w:rFonts w:ascii="Humnst777 Lt BT" w:hAnsi="Humnst777 Lt BT"/>
          <w:i/>
        </w:rPr>
      </w:pPr>
      <w:r>
        <w:rPr>
          <w:rFonts w:ascii="Humnst777 Lt BT" w:hAnsi="Humnst777 Lt BT"/>
          <w:i/>
        </w:rPr>
        <w:t xml:space="preserve">If there are actions to be carried forward to the forthcoming academic year, give reasons explaining why this is so and ensure they are included on the </w:t>
      </w:r>
      <w:r w:rsidR="006F5CFD">
        <w:rPr>
          <w:rFonts w:ascii="Humnst777 Lt BT" w:hAnsi="Humnst777 Lt BT"/>
          <w:i/>
        </w:rPr>
        <w:t xml:space="preserve">carried forward </w:t>
      </w:r>
      <w:r>
        <w:rPr>
          <w:rFonts w:ascii="Humnst777 Lt BT" w:hAnsi="Humnst777 Lt BT"/>
          <w:i/>
        </w:rPr>
        <w:t>action plan for the forthcoming academic year.</w:t>
      </w:r>
    </w:p>
    <w:p w14:paraId="0C400B14" w14:textId="77777777" w:rsidR="00A60B91" w:rsidRDefault="00A60B91" w:rsidP="00A60B91">
      <w:pPr>
        <w:pStyle w:val="ListParagraph"/>
        <w:ind w:left="567"/>
        <w:rPr>
          <w:rFonts w:ascii="Humnst777 Lt BT" w:hAnsi="Humnst777 Lt BT"/>
        </w:rPr>
      </w:pPr>
    </w:p>
    <w:tbl>
      <w:tblPr>
        <w:tblStyle w:val="TableGrid"/>
        <w:tblW w:w="14884" w:type="dxa"/>
        <w:tblInd w:w="279" w:type="dxa"/>
        <w:tblLook w:val="04A0" w:firstRow="1" w:lastRow="0" w:firstColumn="1" w:lastColumn="0" w:noHBand="0" w:noVBand="1"/>
      </w:tblPr>
      <w:tblGrid>
        <w:gridCol w:w="709"/>
        <w:gridCol w:w="3605"/>
        <w:gridCol w:w="1871"/>
        <w:gridCol w:w="3170"/>
        <w:gridCol w:w="2127"/>
        <w:gridCol w:w="1984"/>
        <w:gridCol w:w="1418"/>
      </w:tblGrid>
      <w:tr w:rsidR="00597DA2" w14:paraId="1199524B" w14:textId="77777777" w:rsidTr="005A0BB9">
        <w:tc>
          <w:tcPr>
            <w:tcW w:w="14884" w:type="dxa"/>
            <w:gridSpan w:val="7"/>
            <w:tcBorders>
              <w:bottom w:val="single" w:sz="4" w:space="0" w:color="auto"/>
            </w:tcBorders>
            <w:shd w:val="clear" w:color="auto" w:fill="B4C6E7" w:themeFill="accent5" w:themeFillTint="66"/>
          </w:tcPr>
          <w:p w14:paraId="4EF11401" w14:textId="77777777" w:rsidR="00597DA2" w:rsidRDefault="00597DA2" w:rsidP="00A60B91">
            <w:pPr>
              <w:pStyle w:val="ListParagraph"/>
              <w:spacing w:after="200" w:line="276" w:lineRule="auto"/>
              <w:ind w:left="0"/>
              <w:contextualSpacing/>
              <w:rPr>
                <w:rFonts w:ascii="Humnst777 Lt BT" w:hAnsi="Humnst777 Lt BT"/>
                <w:i/>
              </w:rPr>
            </w:pPr>
            <w:r w:rsidRPr="00883315">
              <w:rPr>
                <w:rFonts w:ascii="Humnst777 Lt BT" w:hAnsi="Humnst777 Lt BT"/>
                <w:b/>
              </w:rPr>
              <w:t>Carried forward from last year</w:t>
            </w:r>
          </w:p>
        </w:tc>
      </w:tr>
      <w:tr w:rsidR="00597DA2" w:rsidRPr="005A0BB9" w14:paraId="53D1E0A1" w14:textId="77777777" w:rsidTr="00263F13">
        <w:tc>
          <w:tcPr>
            <w:tcW w:w="709" w:type="dxa"/>
            <w:shd w:val="clear" w:color="auto" w:fill="EDEDED" w:themeFill="accent3" w:themeFillTint="33"/>
          </w:tcPr>
          <w:p w14:paraId="41F6B840" w14:textId="77777777" w:rsidR="00597DA2" w:rsidRPr="005A0BB9" w:rsidRDefault="00597DA2" w:rsidP="00A60B91">
            <w:pPr>
              <w:pStyle w:val="ListParagraph"/>
              <w:spacing w:after="200" w:line="276" w:lineRule="auto"/>
              <w:ind w:left="0"/>
              <w:contextualSpacing/>
              <w:rPr>
                <w:rFonts w:ascii="Humnst777 Lt BT" w:hAnsi="Humnst777 Lt BT"/>
                <w:b/>
              </w:rPr>
            </w:pPr>
            <w:r w:rsidRPr="005A0BB9">
              <w:rPr>
                <w:rFonts w:ascii="Humnst777 Lt BT" w:hAnsi="Humnst777 Lt BT"/>
                <w:b/>
              </w:rPr>
              <w:t>Item</w:t>
            </w:r>
          </w:p>
        </w:tc>
        <w:tc>
          <w:tcPr>
            <w:tcW w:w="3605" w:type="dxa"/>
            <w:shd w:val="clear" w:color="auto" w:fill="EDEDED" w:themeFill="accent3" w:themeFillTint="33"/>
          </w:tcPr>
          <w:p w14:paraId="31074126" w14:textId="77777777" w:rsidR="005D29E9" w:rsidRPr="005A0BB9" w:rsidRDefault="00597DA2" w:rsidP="005D29E9">
            <w:pPr>
              <w:pStyle w:val="ListParagraph"/>
              <w:spacing w:after="200" w:line="276" w:lineRule="auto"/>
              <w:ind w:left="0"/>
              <w:contextualSpacing/>
              <w:rPr>
                <w:rFonts w:ascii="Humnst777 Lt BT" w:hAnsi="Humnst777 Lt BT"/>
                <w:b/>
              </w:rPr>
            </w:pPr>
            <w:r w:rsidRPr="005A0BB9">
              <w:rPr>
                <w:rFonts w:ascii="Humnst777 Lt BT" w:hAnsi="Humnst777 Lt BT"/>
                <w:b/>
              </w:rPr>
              <w:t>Issue</w:t>
            </w:r>
            <w:r w:rsidR="005D29E9" w:rsidRPr="005A0BB9">
              <w:rPr>
                <w:rFonts w:ascii="Humnst777 Lt BT" w:hAnsi="Humnst777 Lt BT"/>
                <w:b/>
              </w:rPr>
              <w:t xml:space="preserve"> </w:t>
            </w:r>
          </w:p>
        </w:tc>
        <w:tc>
          <w:tcPr>
            <w:tcW w:w="1871" w:type="dxa"/>
            <w:shd w:val="clear" w:color="auto" w:fill="EDEDED" w:themeFill="accent3" w:themeFillTint="33"/>
          </w:tcPr>
          <w:p w14:paraId="7E5B16BB" w14:textId="77777777" w:rsidR="00597DA2" w:rsidRPr="005A0BB9" w:rsidRDefault="005D29E9" w:rsidP="00A60B91">
            <w:pPr>
              <w:pStyle w:val="ListParagraph"/>
              <w:spacing w:after="200" w:line="276" w:lineRule="auto"/>
              <w:ind w:left="0"/>
              <w:contextualSpacing/>
              <w:rPr>
                <w:rFonts w:ascii="Humnst777 Lt BT" w:hAnsi="Humnst777 Lt BT"/>
                <w:b/>
              </w:rPr>
            </w:pPr>
            <w:r w:rsidRPr="005A0BB9">
              <w:rPr>
                <w:rFonts w:ascii="Humnst777 Lt BT" w:hAnsi="Humnst777 Lt BT"/>
                <w:b/>
              </w:rPr>
              <w:t>Origin of Issue</w:t>
            </w:r>
          </w:p>
        </w:tc>
        <w:tc>
          <w:tcPr>
            <w:tcW w:w="3170" w:type="dxa"/>
            <w:shd w:val="clear" w:color="auto" w:fill="EDEDED" w:themeFill="accent3" w:themeFillTint="33"/>
          </w:tcPr>
          <w:p w14:paraId="07841287" w14:textId="77777777" w:rsidR="00597DA2" w:rsidRPr="005A0BB9" w:rsidRDefault="005D29E9" w:rsidP="00A60B91">
            <w:pPr>
              <w:pStyle w:val="ListParagraph"/>
              <w:spacing w:after="200" w:line="276" w:lineRule="auto"/>
              <w:ind w:left="0"/>
              <w:contextualSpacing/>
              <w:rPr>
                <w:rFonts w:ascii="Humnst777 Lt BT" w:hAnsi="Humnst777 Lt BT"/>
                <w:b/>
              </w:rPr>
            </w:pPr>
            <w:r w:rsidRPr="005A0BB9">
              <w:rPr>
                <w:rFonts w:ascii="Humnst777 Lt BT" w:hAnsi="Humnst777 Lt BT"/>
                <w:b/>
              </w:rPr>
              <w:t>Action planned</w:t>
            </w:r>
          </w:p>
          <w:p w14:paraId="70C76BA1" w14:textId="77777777" w:rsidR="005D29E9" w:rsidRPr="005A0BB9" w:rsidRDefault="005D29E9" w:rsidP="00A60B91">
            <w:pPr>
              <w:pStyle w:val="ListParagraph"/>
              <w:spacing w:after="200" w:line="276" w:lineRule="auto"/>
              <w:ind w:left="0"/>
              <w:contextualSpacing/>
              <w:rPr>
                <w:rFonts w:ascii="Humnst777 Lt BT" w:hAnsi="Humnst777 Lt BT"/>
                <w:b/>
              </w:rPr>
            </w:pPr>
          </w:p>
        </w:tc>
        <w:tc>
          <w:tcPr>
            <w:tcW w:w="2127" w:type="dxa"/>
            <w:shd w:val="clear" w:color="auto" w:fill="EDEDED" w:themeFill="accent3" w:themeFillTint="33"/>
          </w:tcPr>
          <w:p w14:paraId="2D78EE3C" w14:textId="77777777" w:rsidR="00597DA2" w:rsidRPr="005A0BB9" w:rsidRDefault="009E77FE" w:rsidP="00A60B91">
            <w:pPr>
              <w:pStyle w:val="ListParagraph"/>
              <w:spacing w:after="200" w:line="276" w:lineRule="auto"/>
              <w:ind w:left="0"/>
              <w:contextualSpacing/>
              <w:rPr>
                <w:rFonts w:ascii="Humnst777 Lt BT" w:hAnsi="Humnst777 Lt BT"/>
                <w:b/>
              </w:rPr>
            </w:pPr>
            <w:r w:rsidRPr="005A0BB9">
              <w:rPr>
                <w:rFonts w:ascii="Humnst777 Lt BT" w:hAnsi="Humnst777 Lt BT"/>
                <w:b/>
              </w:rPr>
              <w:t>Evidence needed for completion</w:t>
            </w:r>
          </w:p>
        </w:tc>
        <w:tc>
          <w:tcPr>
            <w:tcW w:w="1984" w:type="dxa"/>
            <w:shd w:val="clear" w:color="auto" w:fill="EDEDED" w:themeFill="accent3" w:themeFillTint="33"/>
          </w:tcPr>
          <w:p w14:paraId="13583942" w14:textId="77777777" w:rsidR="00597DA2" w:rsidRPr="005A0BB9" w:rsidRDefault="002C5A94" w:rsidP="00A60B91">
            <w:pPr>
              <w:pStyle w:val="ListParagraph"/>
              <w:spacing w:after="200" w:line="276" w:lineRule="auto"/>
              <w:ind w:left="0"/>
              <w:contextualSpacing/>
              <w:rPr>
                <w:rFonts w:ascii="Humnst777 Lt BT" w:hAnsi="Humnst777 Lt BT"/>
                <w:b/>
              </w:rPr>
            </w:pPr>
            <w:r w:rsidRPr="005A0BB9">
              <w:rPr>
                <w:rFonts w:ascii="Humnst777 Lt BT" w:hAnsi="Humnst777 Lt BT"/>
                <w:b/>
              </w:rPr>
              <w:t>Responsibility for action</w:t>
            </w:r>
          </w:p>
        </w:tc>
        <w:tc>
          <w:tcPr>
            <w:tcW w:w="1418" w:type="dxa"/>
            <w:shd w:val="clear" w:color="auto" w:fill="EDEDED" w:themeFill="accent3" w:themeFillTint="33"/>
          </w:tcPr>
          <w:p w14:paraId="3A995B10" w14:textId="77777777" w:rsidR="005D29E9" w:rsidRPr="005A0BB9" w:rsidRDefault="005D29E9" w:rsidP="00A60B91">
            <w:pPr>
              <w:pStyle w:val="ListParagraph"/>
              <w:spacing w:after="200" w:line="276" w:lineRule="auto"/>
              <w:ind w:left="0"/>
              <w:contextualSpacing/>
              <w:rPr>
                <w:rFonts w:ascii="Humnst777 Lt BT" w:hAnsi="Humnst777 Lt BT"/>
                <w:b/>
              </w:rPr>
            </w:pPr>
            <w:r w:rsidRPr="005A0BB9">
              <w:rPr>
                <w:rFonts w:ascii="Humnst777 Lt BT" w:hAnsi="Humnst777 Lt BT"/>
                <w:b/>
              </w:rPr>
              <w:t xml:space="preserve">Status </w:t>
            </w:r>
          </w:p>
          <w:p w14:paraId="28475698" w14:textId="77777777" w:rsidR="00597DA2" w:rsidRPr="005A0BB9" w:rsidRDefault="005D29E9" w:rsidP="00A60B91">
            <w:pPr>
              <w:pStyle w:val="ListParagraph"/>
              <w:spacing w:after="200" w:line="276" w:lineRule="auto"/>
              <w:ind w:left="0"/>
              <w:contextualSpacing/>
              <w:rPr>
                <w:rFonts w:ascii="Humnst777 Lt BT" w:hAnsi="Humnst777 Lt BT"/>
                <w:b/>
                <w:i/>
              </w:rPr>
            </w:pPr>
            <w:r w:rsidRPr="005A0BB9">
              <w:rPr>
                <w:rFonts w:ascii="Humnst777 Lt BT" w:hAnsi="Humnst777 Lt BT"/>
                <w:b/>
                <w:i/>
                <w:sz w:val="18"/>
              </w:rPr>
              <w:t>(complete / in progress / carried over)</w:t>
            </w:r>
          </w:p>
        </w:tc>
      </w:tr>
      <w:tr w:rsidR="00597DA2" w14:paraId="16184E5B" w14:textId="77777777" w:rsidTr="00263F13">
        <w:tc>
          <w:tcPr>
            <w:tcW w:w="709" w:type="dxa"/>
          </w:tcPr>
          <w:p w14:paraId="35A37168" w14:textId="77777777" w:rsidR="00597DA2" w:rsidRPr="001F0BEA" w:rsidRDefault="005D29E9" w:rsidP="00A60B91">
            <w:pPr>
              <w:pStyle w:val="ListParagraph"/>
              <w:spacing w:after="200" w:line="276" w:lineRule="auto"/>
              <w:ind w:left="0"/>
              <w:contextualSpacing/>
              <w:rPr>
                <w:rFonts w:ascii="Humnst777 Lt BT" w:hAnsi="Humnst777 Lt BT"/>
              </w:rPr>
            </w:pPr>
            <w:r>
              <w:rPr>
                <w:rFonts w:ascii="Humnst777 Lt BT" w:hAnsi="Humnst777 Lt BT"/>
              </w:rPr>
              <w:t>1</w:t>
            </w:r>
          </w:p>
        </w:tc>
        <w:tc>
          <w:tcPr>
            <w:tcW w:w="3605" w:type="dxa"/>
          </w:tcPr>
          <w:p w14:paraId="5A42725B" w14:textId="77777777" w:rsidR="00597DA2" w:rsidRPr="001F0BEA" w:rsidRDefault="00597DA2" w:rsidP="00A60B91">
            <w:pPr>
              <w:pStyle w:val="ListParagraph"/>
              <w:spacing w:after="200" w:line="276" w:lineRule="auto"/>
              <w:ind w:left="0"/>
              <w:contextualSpacing/>
              <w:rPr>
                <w:rFonts w:ascii="Humnst777 Lt BT" w:hAnsi="Humnst777 Lt BT"/>
              </w:rPr>
            </w:pPr>
          </w:p>
        </w:tc>
        <w:tc>
          <w:tcPr>
            <w:tcW w:w="1871" w:type="dxa"/>
          </w:tcPr>
          <w:p w14:paraId="4229E327" w14:textId="77777777" w:rsidR="00597DA2" w:rsidRPr="001F0BEA" w:rsidRDefault="00597DA2" w:rsidP="00A60B91">
            <w:pPr>
              <w:pStyle w:val="ListParagraph"/>
              <w:spacing w:after="200" w:line="276" w:lineRule="auto"/>
              <w:ind w:left="0"/>
              <w:contextualSpacing/>
              <w:rPr>
                <w:rFonts w:ascii="Humnst777 Lt BT" w:hAnsi="Humnst777 Lt BT"/>
              </w:rPr>
            </w:pPr>
          </w:p>
        </w:tc>
        <w:tc>
          <w:tcPr>
            <w:tcW w:w="3170" w:type="dxa"/>
          </w:tcPr>
          <w:p w14:paraId="5BFC1DB1" w14:textId="77777777" w:rsidR="00597DA2" w:rsidRPr="001F0BEA" w:rsidRDefault="00597DA2" w:rsidP="00A60B91">
            <w:pPr>
              <w:pStyle w:val="ListParagraph"/>
              <w:spacing w:after="200" w:line="276" w:lineRule="auto"/>
              <w:ind w:left="0"/>
              <w:contextualSpacing/>
              <w:rPr>
                <w:rFonts w:ascii="Humnst777 Lt BT" w:hAnsi="Humnst777 Lt BT"/>
              </w:rPr>
            </w:pPr>
          </w:p>
        </w:tc>
        <w:tc>
          <w:tcPr>
            <w:tcW w:w="2127" w:type="dxa"/>
          </w:tcPr>
          <w:p w14:paraId="720BF6ED" w14:textId="77777777" w:rsidR="00597DA2" w:rsidRPr="001F0BEA" w:rsidRDefault="00597DA2" w:rsidP="00A60B91">
            <w:pPr>
              <w:pStyle w:val="ListParagraph"/>
              <w:spacing w:after="200" w:line="276" w:lineRule="auto"/>
              <w:ind w:left="0"/>
              <w:contextualSpacing/>
              <w:rPr>
                <w:rFonts w:ascii="Humnst777 Lt BT" w:hAnsi="Humnst777 Lt BT"/>
              </w:rPr>
            </w:pPr>
          </w:p>
        </w:tc>
        <w:tc>
          <w:tcPr>
            <w:tcW w:w="1984" w:type="dxa"/>
          </w:tcPr>
          <w:p w14:paraId="500CC3F4" w14:textId="77777777" w:rsidR="00597DA2" w:rsidRPr="001F0BEA" w:rsidRDefault="00597DA2" w:rsidP="00A60B91">
            <w:pPr>
              <w:pStyle w:val="ListParagraph"/>
              <w:spacing w:after="200" w:line="276" w:lineRule="auto"/>
              <w:ind w:left="0"/>
              <w:contextualSpacing/>
              <w:rPr>
                <w:rFonts w:ascii="Humnst777 Lt BT" w:hAnsi="Humnst777 Lt BT"/>
              </w:rPr>
            </w:pPr>
          </w:p>
        </w:tc>
        <w:tc>
          <w:tcPr>
            <w:tcW w:w="1418" w:type="dxa"/>
          </w:tcPr>
          <w:p w14:paraId="14C64A2D" w14:textId="77777777" w:rsidR="00597DA2" w:rsidRPr="001F0BEA" w:rsidRDefault="00597DA2" w:rsidP="00A60B91">
            <w:pPr>
              <w:pStyle w:val="ListParagraph"/>
              <w:spacing w:after="200" w:line="276" w:lineRule="auto"/>
              <w:ind w:left="0"/>
              <w:contextualSpacing/>
              <w:rPr>
                <w:rFonts w:ascii="Humnst777 Lt BT" w:hAnsi="Humnst777 Lt BT"/>
              </w:rPr>
            </w:pPr>
          </w:p>
        </w:tc>
      </w:tr>
      <w:tr w:rsidR="00597DA2" w14:paraId="18EEFCE2" w14:textId="77777777" w:rsidTr="00263F13">
        <w:tc>
          <w:tcPr>
            <w:tcW w:w="709" w:type="dxa"/>
          </w:tcPr>
          <w:p w14:paraId="3D82C0C4" w14:textId="77777777" w:rsidR="00597DA2" w:rsidRPr="001F0BEA" w:rsidRDefault="005D29E9" w:rsidP="00A60B91">
            <w:pPr>
              <w:pStyle w:val="ListParagraph"/>
              <w:spacing w:after="200" w:line="276" w:lineRule="auto"/>
              <w:ind w:left="0"/>
              <w:contextualSpacing/>
              <w:rPr>
                <w:rFonts w:ascii="Humnst777 Lt BT" w:hAnsi="Humnst777 Lt BT"/>
              </w:rPr>
            </w:pPr>
            <w:r>
              <w:rPr>
                <w:rFonts w:ascii="Humnst777 Lt BT" w:hAnsi="Humnst777 Lt BT"/>
              </w:rPr>
              <w:t>2</w:t>
            </w:r>
          </w:p>
        </w:tc>
        <w:tc>
          <w:tcPr>
            <w:tcW w:w="3605" w:type="dxa"/>
          </w:tcPr>
          <w:p w14:paraId="5C29F286" w14:textId="77777777" w:rsidR="00597DA2" w:rsidRPr="001F0BEA" w:rsidRDefault="00597DA2" w:rsidP="00A60B91">
            <w:pPr>
              <w:pStyle w:val="ListParagraph"/>
              <w:spacing w:after="200" w:line="276" w:lineRule="auto"/>
              <w:ind w:left="0"/>
              <w:contextualSpacing/>
              <w:rPr>
                <w:rFonts w:ascii="Humnst777 Lt BT" w:hAnsi="Humnst777 Lt BT"/>
              </w:rPr>
            </w:pPr>
          </w:p>
        </w:tc>
        <w:tc>
          <w:tcPr>
            <w:tcW w:w="1871" w:type="dxa"/>
          </w:tcPr>
          <w:p w14:paraId="5049D7EB" w14:textId="77777777" w:rsidR="00597DA2" w:rsidRPr="001F0BEA" w:rsidRDefault="00597DA2" w:rsidP="00A60B91">
            <w:pPr>
              <w:pStyle w:val="ListParagraph"/>
              <w:spacing w:after="200" w:line="276" w:lineRule="auto"/>
              <w:ind w:left="0"/>
              <w:contextualSpacing/>
              <w:rPr>
                <w:rFonts w:ascii="Humnst777 Lt BT" w:hAnsi="Humnst777 Lt BT"/>
              </w:rPr>
            </w:pPr>
          </w:p>
        </w:tc>
        <w:tc>
          <w:tcPr>
            <w:tcW w:w="3170" w:type="dxa"/>
          </w:tcPr>
          <w:p w14:paraId="3BED3906" w14:textId="77777777" w:rsidR="00597DA2" w:rsidRPr="001F0BEA" w:rsidRDefault="00597DA2" w:rsidP="00A60B91">
            <w:pPr>
              <w:pStyle w:val="ListParagraph"/>
              <w:spacing w:after="200" w:line="276" w:lineRule="auto"/>
              <w:ind w:left="0"/>
              <w:contextualSpacing/>
              <w:rPr>
                <w:rFonts w:ascii="Humnst777 Lt BT" w:hAnsi="Humnst777 Lt BT"/>
              </w:rPr>
            </w:pPr>
          </w:p>
        </w:tc>
        <w:tc>
          <w:tcPr>
            <w:tcW w:w="2127" w:type="dxa"/>
          </w:tcPr>
          <w:p w14:paraId="16B16F2D" w14:textId="77777777" w:rsidR="00597DA2" w:rsidRPr="001F0BEA" w:rsidRDefault="00597DA2" w:rsidP="00A60B91">
            <w:pPr>
              <w:pStyle w:val="ListParagraph"/>
              <w:spacing w:after="200" w:line="276" w:lineRule="auto"/>
              <w:ind w:left="0"/>
              <w:contextualSpacing/>
              <w:rPr>
                <w:rFonts w:ascii="Humnst777 Lt BT" w:hAnsi="Humnst777 Lt BT"/>
              </w:rPr>
            </w:pPr>
          </w:p>
        </w:tc>
        <w:tc>
          <w:tcPr>
            <w:tcW w:w="1984" w:type="dxa"/>
          </w:tcPr>
          <w:p w14:paraId="3002DC94" w14:textId="77777777" w:rsidR="00597DA2" w:rsidRPr="001F0BEA" w:rsidRDefault="00597DA2" w:rsidP="00A60B91">
            <w:pPr>
              <w:pStyle w:val="ListParagraph"/>
              <w:spacing w:after="200" w:line="276" w:lineRule="auto"/>
              <w:ind w:left="0"/>
              <w:contextualSpacing/>
              <w:rPr>
                <w:rFonts w:ascii="Humnst777 Lt BT" w:hAnsi="Humnst777 Lt BT"/>
              </w:rPr>
            </w:pPr>
          </w:p>
        </w:tc>
        <w:tc>
          <w:tcPr>
            <w:tcW w:w="1418" w:type="dxa"/>
          </w:tcPr>
          <w:p w14:paraId="78D4DB53" w14:textId="77777777" w:rsidR="00597DA2" w:rsidRPr="001F0BEA" w:rsidRDefault="00597DA2" w:rsidP="00A60B91">
            <w:pPr>
              <w:pStyle w:val="ListParagraph"/>
              <w:spacing w:after="200" w:line="276" w:lineRule="auto"/>
              <w:ind w:left="0"/>
              <w:contextualSpacing/>
              <w:rPr>
                <w:rFonts w:ascii="Humnst777 Lt BT" w:hAnsi="Humnst777 Lt BT"/>
              </w:rPr>
            </w:pPr>
          </w:p>
        </w:tc>
      </w:tr>
      <w:tr w:rsidR="00597DA2" w14:paraId="0837B68C" w14:textId="77777777" w:rsidTr="00263F13">
        <w:tc>
          <w:tcPr>
            <w:tcW w:w="709" w:type="dxa"/>
          </w:tcPr>
          <w:p w14:paraId="23683C26" w14:textId="77777777" w:rsidR="00597DA2" w:rsidRPr="001F0BEA" w:rsidRDefault="005D29E9" w:rsidP="00A60B91">
            <w:pPr>
              <w:pStyle w:val="ListParagraph"/>
              <w:spacing w:after="200" w:line="276" w:lineRule="auto"/>
              <w:ind w:left="0"/>
              <w:contextualSpacing/>
              <w:rPr>
                <w:rFonts w:ascii="Humnst777 Lt BT" w:hAnsi="Humnst777 Lt BT"/>
              </w:rPr>
            </w:pPr>
            <w:r>
              <w:rPr>
                <w:rFonts w:ascii="Humnst777 Lt BT" w:hAnsi="Humnst777 Lt BT"/>
              </w:rPr>
              <w:t>3</w:t>
            </w:r>
          </w:p>
        </w:tc>
        <w:tc>
          <w:tcPr>
            <w:tcW w:w="3605" w:type="dxa"/>
          </w:tcPr>
          <w:p w14:paraId="70D853AB" w14:textId="77777777" w:rsidR="00597DA2" w:rsidRPr="001F0BEA" w:rsidRDefault="00597DA2" w:rsidP="00A60B91">
            <w:pPr>
              <w:pStyle w:val="ListParagraph"/>
              <w:spacing w:after="200" w:line="276" w:lineRule="auto"/>
              <w:ind w:left="0"/>
              <w:contextualSpacing/>
              <w:rPr>
                <w:rFonts w:ascii="Humnst777 Lt BT" w:hAnsi="Humnst777 Lt BT"/>
              </w:rPr>
            </w:pPr>
          </w:p>
        </w:tc>
        <w:tc>
          <w:tcPr>
            <w:tcW w:w="1871" w:type="dxa"/>
          </w:tcPr>
          <w:p w14:paraId="360ECD78" w14:textId="77777777" w:rsidR="00597DA2" w:rsidRPr="001F0BEA" w:rsidRDefault="00597DA2" w:rsidP="00A60B91">
            <w:pPr>
              <w:pStyle w:val="ListParagraph"/>
              <w:spacing w:after="200" w:line="276" w:lineRule="auto"/>
              <w:ind w:left="0"/>
              <w:contextualSpacing/>
              <w:rPr>
                <w:rFonts w:ascii="Humnst777 Lt BT" w:hAnsi="Humnst777 Lt BT"/>
              </w:rPr>
            </w:pPr>
          </w:p>
        </w:tc>
        <w:tc>
          <w:tcPr>
            <w:tcW w:w="3170" w:type="dxa"/>
          </w:tcPr>
          <w:p w14:paraId="70ED424B" w14:textId="77777777" w:rsidR="00597DA2" w:rsidRPr="001F0BEA" w:rsidRDefault="00597DA2" w:rsidP="00A60B91">
            <w:pPr>
              <w:pStyle w:val="ListParagraph"/>
              <w:spacing w:after="200" w:line="276" w:lineRule="auto"/>
              <w:ind w:left="0"/>
              <w:contextualSpacing/>
              <w:rPr>
                <w:rFonts w:ascii="Humnst777 Lt BT" w:hAnsi="Humnst777 Lt BT"/>
              </w:rPr>
            </w:pPr>
          </w:p>
        </w:tc>
        <w:tc>
          <w:tcPr>
            <w:tcW w:w="2127" w:type="dxa"/>
          </w:tcPr>
          <w:p w14:paraId="59151EF2" w14:textId="77777777" w:rsidR="00597DA2" w:rsidRPr="001F0BEA" w:rsidRDefault="00597DA2" w:rsidP="00A60B91">
            <w:pPr>
              <w:pStyle w:val="ListParagraph"/>
              <w:spacing w:after="200" w:line="276" w:lineRule="auto"/>
              <w:ind w:left="0"/>
              <w:contextualSpacing/>
              <w:rPr>
                <w:rFonts w:ascii="Humnst777 Lt BT" w:hAnsi="Humnst777 Lt BT"/>
              </w:rPr>
            </w:pPr>
          </w:p>
        </w:tc>
        <w:tc>
          <w:tcPr>
            <w:tcW w:w="1984" w:type="dxa"/>
          </w:tcPr>
          <w:p w14:paraId="1A5112BE" w14:textId="77777777" w:rsidR="00597DA2" w:rsidRPr="001F0BEA" w:rsidRDefault="00597DA2" w:rsidP="00A60B91">
            <w:pPr>
              <w:pStyle w:val="ListParagraph"/>
              <w:spacing w:after="200" w:line="276" w:lineRule="auto"/>
              <w:ind w:left="0"/>
              <w:contextualSpacing/>
              <w:rPr>
                <w:rFonts w:ascii="Humnst777 Lt BT" w:hAnsi="Humnst777 Lt BT"/>
              </w:rPr>
            </w:pPr>
          </w:p>
        </w:tc>
        <w:tc>
          <w:tcPr>
            <w:tcW w:w="1418" w:type="dxa"/>
          </w:tcPr>
          <w:p w14:paraId="3348BAEC" w14:textId="77777777" w:rsidR="00597DA2" w:rsidRPr="001F0BEA" w:rsidRDefault="00597DA2" w:rsidP="00A60B91">
            <w:pPr>
              <w:pStyle w:val="ListParagraph"/>
              <w:spacing w:after="200" w:line="276" w:lineRule="auto"/>
              <w:ind w:left="0"/>
              <w:contextualSpacing/>
              <w:rPr>
                <w:rFonts w:ascii="Humnst777 Lt BT" w:hAnsi="Humnst777 Lt BT"/>
              </w:rPr>
            </w:pPr>
          </w:p>
        </w:tc>
      </w:tr>
    </w:tbl>
    <w:p w14:paraId="60CC1265" w14:textId="32891BC3" w:rsidR="0066155B" w:rsidRDefault="0066155B" w:rsidP="001F0BEA">
      <w:pPr>
        <w:spacing w:after="200" w:line="276" w:lineRule="auto"/>
        <w:ind w:left="567"/>
        <w:contextualSpacing/>
        <w:rPr>
          <w:rFonts w:ascii="Humnst777 Lt BT" w:hAnsi="Humnst777 Lt BT"/>
          <w:b/>
        </w:rPr>
      </w:pPr>
    </w:p>
    <w:p w14:paraId="50FAD3BE" w14:textId="4199F9F0" w:rsidR="005A0BB9" w:rsidRDefault="005A0BB9" w:rsidP="001F0BEA">
      <w:pPr>
        <w:spacing w:after="200" w:line="276" w:lineRule="auto"/>
        <w:ind w:left="567"/>
        <w:contextualSpacing/>
        <w:rPr>
          <w:rFonts w:ascii="Humnst777 Lt BT" w:hAnsi="Humnst777 Lt BT"/>
          <w:b/>
        </w:rPr>
      </w:pPr>
    </w:p>
    <w:p w14:paraId="4B1644D4" w14:textId="77777777" w:rsidR="005A0BB9" w:rsidRDefault="005A0BB9" w:rsidP="001F0BEA">
      <w:pPr>
        <w:spacing w:after="200" w:line="276" w:lineRule="auto"/>
        <w:ind w:left="567"/>
        <w:contextualSpacing/>
        <w:rPr>
          <w:rFonts w:ascii="Humnst777 Lt BT" w:hAnsi="Humnst777 Lt BT"/>
          <w:b/>
        </w:rPr>
      </w:pPr>
    </w:p>
    <w:p w14:paraId="14BF44D2" w14:textId="08C34DC3" w:rsidR="0066155B" w:rsidRPr="001F0BEA" w:rsidRDefault="005A0BB9" w:rsidP="005A0BB9">
      <w:pPr>
        <w:pStyle w:val="SectionHeading"/>
        <w:ind w:left="426"/>
      </w:pPr>
      <w:r>
        <w:lastRenderedPageBreak/>
        <w:t>SECTION 4 – NEW ACTION PLAN</w:t>
      </w:r>
    </w:p>
    <w:p w14:paraId="08BFFB0B" w14:textId="77777777" w:rsidR="0066155B" w:rsidRDefault="0066155B" w:rsidP="0066155B">
      <w:pPr>
        <w:pStyle w:val="ListParagraph"/>
        <w:ind w:left="567"/>
        <w:rPr>
          <w:rFonts w:ascii="Humnst777 Lt BT" w:hAnsi="Humnst777 Lt BT"/>
          <w:i/>
        </w:rPr>
      </w:pPr>
      <w:r>
        <w:rPr>
          <w:rFonts w:ascii="Humnst777 Lt BT" w:hAnsi="Humnst777 Lt BT"/>
          <w:i/>
        </w:rPr>
        <w:t>Formulate an action plan for the forthcoming academic year.  Please delete and add lines to the table as appropriate.  The actions should be:</w:t>
      </w:r>
    </w:p>
    <w:p w14:paraId="480E84CD" w14:textId="77777777" w:rsidR="0066155B" w:rsidRDefault="0066155B" w:rsidP="0066155B">
      <w:pPr>
        <w:pStyle w:val="ListParagraph"/>
        <w:numPr>
          <w:ilvl w:val="0"/>
          <w:numId w:val="2"/>
        </w:numPr>
        <w:spacing w:after="200" w:line="276" w:lineRule="auto"/>
        <w:ind w:left="851" w:hanging="284"/>
        <w:contextualSpacing/>
        <w:rPr>
          <w:rFonts w:ascii="Humnst777 Lt BT" w:hAnsi="Humnst777 Lt BT"/>
          <w:i/>
        </w:rPr>
      </w:pPr>
      <w:r>
        <w:rPr>
          <w:rFonts w:ascii="Humnst777 Lt BT" w:hAnsi="Humnst777 Lt BT"/>
          <w:i/>
        </w:rPr>
        <w:t>High-level, measurable actions</w:t>
      </w:r>
    </w:p>
    <w:p w14:paraId="700981F7" w14:textId="77777777" w:rsidR="0066155B" w:rsidRPr="00051797" w:rsidRDefault="0066155B" w:rsidP="0066155B">
      <w:pPr>
        <w:pStyle w:val="ListParagraph"/>
        <w:numPr>
          <w:ilvl w:val="0"/>
          <w:numId w:val="2"/>
        </w:numPr>
        <w:spacing w:after="200" w:line="276" w:lineRule="auto"/>
        <w:ind w:left="851" w:hanging="284"/>
        <w:contextualSpacing/>
        <w:rPr>
          <w:rFonts w:ascii="Humnst777 Lt BT" w:hAnsi="Humnst777 Lt BT"/>
          <w:i/>
        </w:rPr>
      </w:pPr>
      <w:r w:rsidRPr="00051797">
        <w:rPr>
          <w:rFonts w:ascii="Humnst777 Lt BT" w:hAnsi="Humnst777 Lt BT"/>
          <w:i/>
        </w:rPr>
        <w:t>Drawn from the issues</w:t>
      </w:r>
      <w:r>
        <w:rPr>
          <w:rFonts w:ascii="Humnst777 Lt BT" w:hAnsi="Humnst777 Lt BT"/>
          <w:i/>
        </w:rPr>
        <w:t xml:space="preserve"> emerging from student feedback, as</w:t>
      </w:r>
      <w:r w:rsidRPr="00051797">
        <w:rPr>
          <w:rFonts w:ascii="Humnst777 Lt BT" w:hAnsi="Humnst777 Lt BT"/>
          <w:i/>
        </w:rPr>
        <w:t xml:space="preserve"> identified in the Overview Commentary section of this report</w:t>
      </w:r>
    </w:p>
    <w:p w14:paraId="72D114AE" w14:textId="1E6B5E19" w:rsidR="00D81935" w:rsidRPr="005A0BB9" w:rsidRDefault="0066155B" w:rsidP="005A0BB9">
      <w:pPr>
        <w:pStyle w:val="ListParagraph"/>
        <w:numPr>
          <w:ilvl w:val="0"/>
          <w:numId w:val="2"/>
        </w:numPr>
        <w:spacing w:after="200" w:line="276" w:lineRule="auto"/>
        <w:ind w:left="851" w:hanging="284"/>
        <w:contextualSpacing/>
        <w:rPr>
          <w:rFonts w:ascii="Humnst777 Lt BT" w:hAnsi="Humnst777 Lt BT"/>
          <w:i/>
        </w:rPr>
      </w:pPr>
      <w:r>
        <w:rPr>
          <w:rFonts w:ascii="Humnst777 Lt BT" w:hAnsi="Humnst777 Lt BT"/>
          <w:i/>
        </w:rPr>
        <w:t>Owned by a named post holder(s)</w:t>
      </w:r>
    </w:p>
    <w:p w14:paraId="76769CF4" w14:textId="77777777" w:rsidR="00D81935" w:rsidRDefault="00D81935" w:rsidP="00A60B91">
      <w:pPr>
        <w:pStyle w:val="ListParagraph"/>
        <w:spacing w:after="200" w:line="276" w:lineRule="auto"/>
        <w:ind w:left="851"/>
        <w:contextualSpacing/>
        <w:rPr>
          <w:rFonts w:ascii="Humnst777 Lt BT" w:hAnsi="Humnst777 Lt BT"/>
          <w:i/>
        </w:rPr>
      </w:pPr>
    </w:p>
    <w:tbl>
      <w:tblPr>
        <w:tblStyle w:val="TableGrid"/>
        <w:tblW w:w="15168" w:type="dxa"/>
        <w:tblInd w:w="-5" w:type="dxa"/>
        <w:tblLook w:val="04A0" w:firstRow="1" w:lastRow="0" w:firstColumn="1" w:lastColumn="0" w:noHBand="0" w:noVBand="1"/>
      </w:tblPr>
      <w:tblGrid>
        <w:gridCol w:w="855"/>
        <w:gridCol w:w="4350"/>
        <w:gridCol w:w="1763"/>
        <w:gridCol w:w="2847"/>
        <w:gridCol w:w="2004"/>
        <w:gridCol w:w="1921"/>
        <w:gridCol w:w="1428"/>
      </w:tblGrid>
      <w:tr w:rsidR="00597DA2" w14:paraId="57306FF8" w14:textId="77777777" w:rsidTr="005A0BB9">
        <w:tc>
          <w:tcPr>
            <w:tcW w:w="15168" w:type="dxa"/>
            <w:gridSpan w:val="7"/>
            <w:tcBorders>
              <w:bottom w:val="single" w:sz="4" w:space="0" w:color="auto"/>
            </w:tcBorders>
            <w:shd w:val="clear" w:color="auto" w:fill="B4C6E7" w:themeFill="accent5" w:themeFillTint="66"/>
          </w:tcPr>
          <w:p w14:paraId="53434810" w14:textId="2C1BDC35" w:rsidR="00597DA2" w:rsidRDefault="00597DA2" w:rsidP="00B51FDF">
            <w:pPr>
              <w:pStyle w:val="ListParagraph"/>
              <w:spacing w:after="200" w:line="276" w:lineRule="auto"/>
              <w:ind w:left="0"/>
              <w:contextualSpacing/>
              <w:rPr>
                <w:rFonts w:ascii="Humnst777 Lt BT" w:hAnsi="Humnst777 Lt BT"/>
                <w:i/>
              </w:rPr>
            </w:pPr>
            <w:r>
              <w:rPr>
                <w:rFonts w:ascii="Humnst777 Lt BT" w:hAnsi="Humnst777 Lt BT"/>
                <w:b/>
              </w:rPr>
              <w:t>New items for 2019</w:t>
            </w:r>
            <w:r w:rsidR="005A0BB9">
              <w:rPr>
                <w:rFonts w:ascii="Humnst777 Lt BT" w:hAnsi="Humnst777 Lt BT"/>
                <w:b/>
              </w:rPr>
              <w:t>-</w:t>
            </w:r>
            <w:r>
              <w:rPr>
                <w:rFonts w:ascii="Humnst777 Lt BT" w:hAnsi="Humnst777 Lt BT"/>
                <w:b/>
              </w:rPr>
              <w:t>20</w:t>
            </w:r>
          </w:p>
        </w:tc>
      </w:tr>
      <w:tr w:rsidR="00FB0616" w14:paraId="73E85760" w14:textId="77777777" w:rsidTr="00FB0616">
        <w:tc>
          <w:tcPr>
            <w:tcW w:w="709" w:type="dxa"/>
            <w:tcBorders>
              <w:bottom w:val="single" w:sz="4" w:space="0" w:color="auto"/>
            </w:tcBorders>
            <w:shd w:val="clear" w:color="auto" w:fill="EDEDED" w:themeFill="accent3" w:themeFillTint="33"/>
          </w:tcPr>
          <w:p w14:paraId="784454FB" w14:textId="77777777" w:rsidR="00597DA2" w:rsidRPr="005D29E9" w:rsidRDefault="00597DA2" w:rsidP="00B51FDF">
            <w:pPr>
              <w:pStyle w:val="ListParagraph"/>
              <w:spacing w:after="200" w:line="276" w:lineRule="auto"/>
              <w:ind w:left="0"/>
              <w:contextualSpacing/>
              <w:rPr>
                <w:rFonts w:ascii="Humnst777 Lt BT" w:hAnsi="Humnst777 Lt BT"/>
              </w:rPr>
            </w:pPr>
            <w:r w:rsidRPr="005D29E9">
              <w:rPr>
                <w:rFonts w:ascii="Humnst777 Lt BT" w:hAnsi="Humnst777 Lt BT"/>
              </w:rPr>
              <w:t>Item</w:t>
            </w:r>
          </w:p>
        </w:tc>
        <w:tc>
          <w:tcPr>
            <w:tcW w:w="4424" w:type="dxa"/>
            <w:tcBorders>
              <w:bottom w:val="single" w:sz="4" w:space="0" w:color="auto"/>
            </w:tcBorders>
            <w:shd w:val="clear" w:color="auto" w:fill="EDEDED" w:themeFill="accent3" w:themeFillTint="33"/>
          </w:tcPr>
          <w:p w14:paraId="707D23DB" w14:textId="0F776E79" w:rsidR="00597DA2" w:rsidRPr="005D29E9" w:rsidRDefault="005D29E9" w:rsidP="00B51FDF">
            <w:pPr>
              <w:pStyle w:val="ListParagraph"/>
              <w:spacing w:after="200" w:line="276" w:lineRule="auto"/>
              <w:ind w:left="0"/>
              <w:contextualSpacing/>
              <w:rPr>
                <w:rFonts w:ascii="Humnst777 Lt BT" w:hAnsi="Humnst777 Lt BT"/>
              </w:rPr>
            </w:pPr>
            <w:r w:rsidRPr="005D29E9">
              <w:rPr>
                <w:rFonts w:ascii="Humnst777 Lt BT" w:hAnsi="Humnst777 Lt BT"/>
              </w:rPr>
              <w:t>Emerging Issue</w:t>
            </w:r>
            <w:r w:rsidR="00E6014A">
              <w:rPr>
                <w:rFonts w:ascii="Humnst777 Lt BT" w:hAnsi="Humnst777 Lt BT"/>
              </w:rPr>
              <w:t xml:space="preserve"> from student and/or staff feedback</w:t>
            </w:r>
          </w:p>
        </w:tc>
        <w:tc>
          <w:tcPr>
            <w:tcW w:w="1776" w:type="dxa"/>
            <w:tcBorders>
              <w:bottom w:val="single" w:sz="4" w:space="0" w:color="auto"/>
            </w:tcBorders>
            <w:shd w:val="clear" w:color="auto" w:fill="EDEDED" w:themeFill="accent3" w:themeFillTint="33"/>
          </w:tcPr>
          <w:p w14:paraId="0BD5805F" w14:textId="77777777" w:rsidR="00597DA2" w:rsidRPr="001F0BEA" w:rsidRDefault="005D29E9" w:rsidP="00B51FDF">
            <w:pPr>
              <w:pStyle w:val="ListParagraph"/>
              <w:spacing w:after="200" w:line="276" w:lineRule="auto"/>
              <w:ind w:left="0"/>
              <w:contextualSpacing/>
              <w:rPr>
                <w:rFonts w:ascii="Humnst777 Lt BT" w:hAnsi="Humnst777 Lt BT"/>
              </w:rPr>
            </w:pPr>
            <w:r>
              <w:rPr>
                <w:rFonts w:ascii="Humnst777 Lt BT" w:hAnsi="Humnst777 Lt BT"/>
              </w:rPr>
              <w:t>Origin of Issue</w:t>
            </w:r>
          </w:p>
        </w:tc>
        <w:tc>
          <w:tcPr>
            <w:tcW w:w="2882" w:type="dxa"/>
            <w:tcBorders>
              <w:bottom w:val="single" w:sz="4" w:space="0" w:color="auto"/>
            </w:tcBorders>
            <w:shd w:val="clear" w:color="auto" w:fill="EDEDED" w:themeFill="accent3" w:themeFillTint="33"/>
          </w:tcPr>
          <w:p w14:paraId="1D0DF588" w14:textId="77777777" w:rsidR="00597DA2" w:rsidRDefault="002C5A94" w:rsidP="005D29E9">
            <w:pPr>
              <w:pStyle w:val="ListParagraph"/>
              <w:spacing w:after="200" w:line="276" w:lineRule="auto"/>
              <w:ind w:left="0"/>
              <w:contextualSpacing/>
              <w:rPr>
                <w:rFonts w:ascii="Humnst777 Lt BT" w:hAnsi="Humnst777 Lt BT"/>
              </w:rPr>
            </w:pPr>
            <w:r>
              <w:rPr>
                <w:rFonts w:ascii="Humnst777 Lt BT" w:hAnsi="Humnst777 Lt BT"/>
              </w:rPr>
              <w:t>High-level a</w:t>
            </w:r>
            <w:r w:rsidR="005D29E9">
              <w:rPr>
                <w:rFonts w:ascii="Humnst777 Lt BT" w:hAnsi="Humnst777 Lt BT"/>
              </w:rPr>
              <w:t>ction planned</w:t>
            </w:r>
          </w:p>
          <w:p w14:paraId="18AA8113" w14:textId="008B85A9" w:rsidR="00703160" w:rsidRPr="001F0BEA" w:rsidRDefault="00703160" w:rsidP="005D29E9">
            <w:pPr>
              <w:pStyle w:val="ListParagraph"/>
              <w:spacing w:after="200" w:line="276" w:lineRule="auto"/>
              <w:ind w:left="0"/>
              <w:contextualSpacing/>
              <w:rPr>
                <w:rFonts w:ascii="Humnst777 Lt BT" w:hAnsi="Humnst777 Lt BT"/>
                <w:b/>
              </w:rPr>
            </w:pPr>
            <w:r w:rsidRPr="001F0BEA">
              <w:rPr>
                <w:rFonts w:ascii="Humnst777 Lt BT" w:hAnsi="Humnst777 Lt BT"/>
                <w:b/>
              </w:rPr>
              <w:t>(For transfer to Business Planning Action Plan)</w:t>
            </w:r>
          </w:p>
        </w:tc>
        <w:tc>
          <w:tcPr>
            <w:tcW w:w="2020" w:type="dxa"/>
            <w:tcBorders>
              <w:bottom w:val="single" w:sz="4" w:space="0" w:color="auto"/>
            </w:tcBorders>
            <w:shd w:val="clear" w:color="auto" w:fill="EDEDED" w:themeFill="accent3" w:themeFillTint="33"/>
          </w:tcPr>
          <w:p w14:paraId="60267118" w14:textId="77777777" w:rsidR="00597DA2" w:rsidRPr="001F0BEA" w:rsidRDefault="002C5A94" w:rsidP="00B51FDF">
            <w:pPr>
              <w:pStyle w:val="ListParagraph"/>
              <w:spacing w:after="200" w:line="276" w:lineRule="auto"/>
              <w:ind w:left="0"/>
              <w:contextualSpacing/>
              <w:rPr>
                <w:rFonts w:ascii="Humnst777 Lt BT" w:hAnsi="Humnst777 Lt BT"/>
              </w:rPr>
            </w:pPr>
            <w:r>
              <w:rPr>
                <w:rFonts w:ascii="Humnst777 Lt BT" w:hAnsi="Humnst777 Lt BT"/>
              </w:rPr>
              <w:t>Evidence needed for completion</w:t>
            </w:r>
          </w:p>
        </w:tc>
        <w:tc>
          <w:tcPr>
            <w:tcW w:w="1929" w:type="dxa"/>
            <w:tcBorders>
              <w:bottom w:val="single" w:sz="4" w:space="0" w:color="auto"/>
            </w:tcBorders>
            <w:shd w:val="clear" w:color="auto" w:fill="EDEDED" w:themeFill="accent3" w:themeFillTint="33"/>
          </w:tcPr>
          <w:p w14:paraId="3DCD9297" w14:textId="77777777" w:rsidR="00597DA2" w:rsidRPr="001F0BEA" w:rsidRDefault="002C5A94" w:rsidP="00B51FDF">
            <w:pPr>
              <w:pStyle w:val="ListParagraph"/>
              <w:spacing w:after="200" w:line="276" w:lineRule="auto"/>
              <w:ind w:left="0"/>
              <w:contextualSpacing/>
              <w:rPr>
                <w:rFonts w:ascii="Humnst777 Lt BT" w:hAnsi="Humnst777 Lt BT"/>
              </w:rPr>
            </w:pPr>
            <w:r>
              <w:rPr>
                <w:rFonts w:ascii="Humnst777 Lt BT" w:hAnsi="Humnst777 Lt BT"/>
              </w:rPr>
              <w:t>Responsibility for action</w:t>
            </w:r>
          </w:p>
        </w:tc>
        <w:tc>
          <w:tcPr>
            <w:tcW w:w="1428" w:type="dxa"/>
            <w:tcBorders>
              <w:bottom w:val="single" w:sz="4" w:space="0" w:color="auto"/>
            </w:tcBorders>
            <w:shd w:val="clear" w:color="auto" w:fill="EDEDED" w:themeFill="accent3" w:themeFillTint="33"/>
          </w:tcPr>
          <w:p w14:paraId="127D81C7" w14:textId="77777777" w:rsidR="00597DA2" w:rsidRPr="001F0BEA" w:rsidRDefault="005D29E9" w:rsidP="00B51FDF">
            <w:pPr>
              <w:pStyle w:val="ListParagraph"/>
              <w:spacing w:after="200" w:line="276" w:lineRule="auto"/>
              <w:ind w:left="0"/>
              <w:contextualSpacing/>
              <w:rPr>
                <w:rFonts w:ascii="Humnst777 Lt BT" w:hAnsi="Humnst777 Lt BT"/>
              </w:rPr>
            </w:pPr>
            <w:r>
              <w:rPr>
                <w:rFonts w:ascii="Humnst777 Lt BT" w:hAnsi="Humnst777 Lt BT"/>
              </w:rPr>
              <w:t xml:space="preserve">Projected completion date </w:t>
            </w:r>
            <w:r w:rsidRPr="00324299">
              <w:rPr>
                <w:rFonts w:ascii="Humnst777 Lt BT" w:hAnsi="Humnst777 Lt BT"/>
                <w:i/>
                <w:sz w:val="18"/>
              </w:rPr>
              <w:t>(month/year)</w:t>
            </w:r>
          </w:p>
        </w:tc>
      </w:tr>
      <w:tr w:rsidR="00FB0616" w14:paraId="2446D819" w14:textId="77777777" w:rsidTr="00FB0616">
        <w:tc>
          <w:tcPr>
            <w:tcW w:w="709" w:type="dxa"/>
            <w:shd w:val="clear" w:color="auto" w:fill="DEEAF6" w:themeFill="accent1" w:themeFillTint="33"/>
          </w:tcPr>
          <w:p w14:paraId="336D04E6" w14:textId="77777777" w:rsidR="005D29E9" w:rsidRPr="001F0BEA" w:rsidRDefault="005D29E9" w:rsidP="00B51FDF">
            <w:pPr>
              <w:pStyle w:val="ListParagraph"/>
              <w:spacing w:after="200" w:line="276" w:lineRule="auto"/>
              <w:ind w:left="0"/>
              <w:contextualSpacing/>
              <w:rPr>
                <w:rFonts w:ascii="Humnst777 Lt BT" w:hAnsi="Humnst777 Lt BT"/>
                <w:i/>
              </w:rPr>
            </w:pPr>
            <w:r w:rsidRPr="00FB0616">
              <w:rPr>
                <w:rFonts w:ascii="Humnst777 Lt BT" w:hAnsi="Humnst777 Lt BT"/>
                <w:i/>
                <w:iCs/>
                <w:color w:val="1F3864"/>
                <w:sz w:val="18"/>
                <w:szCs w:val="18"/>
              </w:rPr>
              <w:t>Example</w:t>
            </w:r>
          </w:p>
        </w:tc>
        <w:tc>
          <w:tcPr>
            <w:tcW w:w="4424" w:type="dxa"/>
            <w:shd w:val="clear" w:color="auto" w:fill="DEEAF6" w:themeFill="accent1" w:themeFillTint="33"/>
          </w:tcPr>
          <w:p w14:paraId="43124F52" w14:textId="5728820C" w:rsidR="00263F13" w:rsidRDefault="00263F13" w:rsidP="00263F13">
            <w:pPr>
              <w:pStyle w:val="ListParagraph"/>
              <w:spacing w:after="200" w:line="276" w:lineRule="auto"/>
              <w:ind w:left="0"/>
              <w:contextualSpacing/>
              <w:rPr>
                <w:rFonts w:ascii="Humnst777 Lt BT" w:hAnsi="Humnst777 Lt BT"/>
                <w:i/>
                <w:iCs/>
                <w:color w:val="1F3864"/>
                <w:sz w:val="18"/>
                <w:szCs w:val="18"/>
              </w:rPr>
            </w:pPr>
            <w:r>
              <w:rPr>
                <w:rFonts w:ascii="Humnst777 Lt BT" w:hAnsi="Humnst777 Lt BT"/>
                <w:i/>
                <w:iCs/>
                <w:color w:val="1F3864"/>
                <w:sz w:val="18"/>
                <w:szCs w:val="18"/>
              </w:rPr>
              <w:t>Students surveys provide information that last-minute timetabling changes are not communicated quickly enough</w:t>
            </w:r>
          </w:p>
          <w:p w14:paraId="7861AB51" w14:textId="31647A3F" w:rsidR="005D29E9" w:rsidRPr="001F0BEA" w:rsidRDefault="005D29E9" w:rsidP="002A37A1">
            <w:pPr>
              <w:pStyle w:val="ListParagraph"/>
              <w:spacing w:after="200" w:line="276" w:lineRule="auto"/>
              <w:ind w:left="0"/>
              <w:contextualSpacing/>
              <w:rPr>
                <w:rFonts w:ascii="Humnst777 Lt BT" w:hAnsi="Humnst777 Lt BT"/>
                <w:i/>
                <w:color w:val="1F4E79" w:themeColor="accent1" w:themeShade="80"/>
                <w:sz w:val="18"/>
              </w:rPr>
            </w:pPr>
          </w:p>
        </w:tc>
        <w:tc>
          <w:tcPr>
            <w:tcW w:w="1776" w:type="dxa"/>
            <w:shd w:val="clear" w:color="auto" w:fill="DEEAF6" w:themeFill="accent1" w:themeFillTint="33"/>
          </w:tcPr>
          <w:p w14:paraId="7C6BAAAF" w14:textId="77777777" w:rsidR="00263F13" w:rsidRDefault="00263F13" w:rsidP="00263F13">
            <w:pPr>
              <w:pStyle w:val="ListParagraph"/>
              <w:spacing w:after="200" w:line="276" w:lineRule="auto"/>
              <w:ind w:left="0"/>
              <w:contextualSpacing/>
              <w:rPr>
                <w:rFonts w:ascii="Humnst777 Lt BT" w:hAnsi="Humnst777 Lt BT"/>
                <w:i/>
                <w:iCs/>
                <w:color w:val="1F3864"/>
                <w:sz w:val="18"/>
                <w:szCs w:val="18"/>
              </w:rPr>
            </w:pPr>
            <w:r>
              <w:rPr>
                <w:rFonts w:ascii="Humnst777 Lt BT" w:hAnsi="Humnst777 Lt BT"/>
                <w:i/>
                <w:iCs/>
                <w:color w:val="1F3864"/>
                <w:sz w:val="18"/>
                <w:szCs w:val="18"/>
              </w:rPr>
              <w:t>Student feedback from Annual Programme Monitoring reports 2018-19</w:t>
            </w:r>
          </w:p>
          <w:p w14:paraId="49800465" w14:textId="77777777" w:rsidR="00263F13" w:rsidRDefault="00263F13" w:rsidP="00263F13">
            <w:pPr>
              <w:pStyle w:val="ListParagraph"/>
              <w:spacing w:after="200" w:line="276" w:lineRule="auto"/>
              <w:ind w:left="0"/>
              <w:contextualSpacing/>
              <w:rPr>
                <w:rFonts w:ascii="Humnst777 Lt BT" w:hAnsi="Humnst777 Lt BT"/>
                <w:i/>
                <w:iCs/>
                <w:color w:val="1F3864"/>
                <w:sz w:val="18"/>
                <w:szCs w:val="18"/>
              </w:rPr>
            </w:pPr>
          </w:p>
          <w:p w14:paraId="55F6325E" w14:textId="4F35643E" w:rsidR="005D29E9" w:rsidRPr="001F0BEA" w:rsidRDefault="00263F13" w:rsidP="00263F13">
            <w:pPr>
              <w:pStyle w:val="ListParagraph"/>
              <w:spacing w:after="200" w:line="276" w:lineRule="auto"/>
              <w:ind w:left="0"/>
              <w:contextualSpacing/>
              <w:rPr>
                <w:rFonts w:ascii="Humnst777 Lt BT" w:hAnsi="Humnst777 Lt BT"/>
                <w:i/>
              </w:rPr>
            </w:pPr>
            <w:r>
              <w:rPr>
                <w:rFonts w:ascii="Humnst777 Lt BT" w:hAnsi="Humnst777 Lt BT"/>
                <w:i/>
                <w:iCs/>
                <w:color w:val="1F3864"/>
                <w:sz w:val="18"/>
                <w:szCs w:val="18"/>
              </w:rPr>
              <w:t>NSS outcomes for organisation &amp; management</w:t>
            </w:r>
          </w:p>
        </w:tc>
        <w:tc>
          <w:tcPr>
            <w:tcW w:w="2882" w:type="dxa"/>
            <w:shd w:val="clear" w:color="auto" w:fill="DEEAF6" w:themeFill="accent1" w:themeFillTint="33"/>
          </w:tcPr>
          <w:p w14:paraId="0C775330" w14:textId="77777777" w:rsidR="00263F13" w:rsidRDefault="00263F13" w:rsidP="00263F13">
            <w:pPr>
              <w:pStyle w:val="ListParagraph"/>
              <w:spacing w:after="200" w:line="276" w:lineRule="auto"/>
              <w:ind w:left="0"/>
              <w:contextualSpacing/>
              <w:rPr>
                <w:rFonts w:ascii="Humnst777 Lt BT" w:hAnsi="Humnst777 Lt BT"/>
                <w:i/>
                <w:iCs/>
                <w:color w:val="1F3864"/>
                <w:sz w:val="18"/>
                <w:szCs w:val="18"/>
              </w:rPr>
            </w:pPr>
            <w:r>
              <w:rPr>
                <w:rFonts w:ascii="Humnst777 Lt BT" w:hAnsi="Humnst777 Lt BT"/>
                <w:i/>
                <w:iCs/>
                <w:color w:val="1F3864"/>
                <w:sz w:val="18"/>
                <w:szCs w:val="18"/>
              </w:rPr>
              <w:t xml:space="preserve">1) Put in place a clear &amp; consistent communication plan for timetabling changes, so students know </w:t>
            </w:r>
          </w:p>
          <w:p w14:paraId="58BF1966" w14:textId="77777777" w:rsidR="00263F13" w:rsidRDefault="00263F13" w:rsidP="00263F13">
            <w:pPr>
              <w:pStyle w:val="ListParagraph"/>
              <w:spacing w:after="200" w:line="276" w:lineRule="auto"/>
              <w:ind w:left="0"/>
              <w:contextualSpacing/>
              <w:rPr>
                <w:rFonts w:ascii="Humnst777 Lt BT" w:hAnsi="Humnst777 Lt BT"/>
                <w:i/>
                <w:iCs/>
                <w:color w:val="1F3864"/>
                <w:sz w:val="18"/>
                <w:szCs w:val="18"/>
              </w:rPr>
            </w:pPr>
            <w:r>
              <w:rPr>
                <w:rFonts w:ascii="Humnst777 Lt BT" w:hAnsi="Humnst777 Lt BT"/>
                <w:i/>
                <w:iCs/>
                <w:color w:val="1F3864"/>
                <w:sz w:val="18"/>
                <w:szCs w:val="18"/>
              </w:rPr>
              <w:t>-why changes might be made</w:t>
            </w:r>
          </w:p>
          <w:p w14:paraId="363E4A67" w14:textId="77777777" w:rsidR="00263F13" w:rsidRDefault="00263F13" w:rsidP="00263F13">
            <w:pPr>
              <w:pStyle w:val="ListParagraph"/>
              <w:spacing w:after="200" w:line="276" w:lineRule="auto"/>
              <w:ind w:left="0"/>
              <w:contextualSpacing/>
              <w:rPr>
                <w:rFonts w:ascii="Humnst777 Lt BT" w:hAnsi="Humnst777 Lt BT"/>
                <w:i/>
                <w:iCs/>
                <w:color w:val="1F3864"/>
                <w:sz w:val="18"/>
                <w:szCs w:val="18"/>
              </w:rPr>
            </w:pPr>
            <w:r>
              <w:rPr>
                <w:rFonts w:ascii="Humnst777 Lt BT" w:hAnsi="Humnst777 Lt BT"/>
                <w:i/>
                <w:iCs/>
                <w:color w:val="1F3864"/>
                <w:sz w:val="18"/>
                <w:szCs w:val="18"/>
              </w:rPr>
              <w:t>-when they will be notified</w:t>
            </w:r>
          </w:p>
          <w:p w14:paraId="0EB91DEC" w14:textId="77777777" w:rsidR="00263F13" w:rsidRDefault="00263F13" w:rsidP="00263F13">
            <w:pPr>
              <w:pStyle w:val="ListParagraph"/>
              <w:spacing w:after="200" w:line="276" w:lineRule="auto"/>
              <w:ind w:left="0"/>
              <w:contextualSpacing/>
              <w:rPr>
                <w:rFonts w:ascii="Humnst777 Lt BT" w:hAnsi="Humnst777 Lt BT"/>
                <w:i/>
                <w:iCs/>
                <w:color w:val="1F3864"/>
                <w:sz w:val="18"/>
                <w:szCs w:val="18"/>
              </w:rPr>
            </w:pPr>
            <w:r>
              <w:rPr>
                <w:rFonts w:ascii="Humnst777 Lt BT" w:hAnsi="Humnst777 Lt BT"/>
                <w:i/>
                <w:iCs/>
                <w:color w:val="1F3864"/>
                <w:sz w:val="18"/>
                <w:szCs w:val="18"/>
              </w:rPr>
              <w:t>-how they will be notified</w:t>
            </w:r>
          </w:p>
          <w:p w14:paraId="6EBDABAA" w14:textId="77777777" w:rsidR="00263F13" w:rsidRDefault="00263F13" w:rsidP="00263F13">
            <w:pPr>
              <w:pStyle w:val="ListParagraph"/>
              <w:spacing w:after="200" w:line="276" w:lineRule="auto"/>
              <w:ind w:left="0"/>
              <w:contextualSpacing/>
              <w:rPr>
                <w:rFonts w:ascii="Humnst777 Lt BT" w:hAnsi="Humnst777 Lt BT"/>
                <w:i/>
                <w:iCs/>
                <w:sz w:val="22"/>
                <w:szCs w:val="22"/>
              </w:rPr>
            </w:pPr>
          </w:p>
          <w:p w14:paraId="733A7995" w14:textId="3DECDFDF" w:rsidR="005D29E9" w:rsidRPr="00263F13" w:rsidRDefault="00263F13" w:rsidP="00263F13">
            <w:pPr>
              <w:pStyle w:val="ListParagraph"/>
              <w:spacing w:after="200" w:line="276" w:lineRule="auto"/>
              <w:ind w:left="0"/>
              <w:contextualSpacing/>
              <w:rPr>
                <w:rFonts w:ascii="Humnst777 Lt BT" w:hAnsi="Humnst777 Lt BT"/>
                <w:i/>
              </w:rPr>
            </w:pPr>
            <w:r>
              <w:rPr>
                <w:rFonts w:ascii="Humnst777 Lt BT" w:hAnsi="Humnst777 Lt BT"/>
                <w:i/>
                <w:iCs/>
                <w:color w:val="1F3864"/>
                <w:sz w:val="18"/>
                <w:szCs w:val="18"/>
              </w:rPr>
              <w:t>2) Review the Timetabling &amp; Rooming Strategy to ensure it does not facilitate late timetabling changes.</w:t>
            </w:r>
          </w:p>
        </w:tc>
        <w:tc>
          <w:tcPr>
            <w:tcW w:w="2020" w:type="dxa"/>
            <w:shd w:val="clear" w:color="auto" w:fill="DEEAF6" w:themeFill="accent1" w:themeFillTint="33"/>
          </w:tcPr>
          <w:p w14:paraId="7D016222" w14:textId="77777777" w:rsidR="00263F13" w:rsidRDefault="00263F13" w:rsidP="00263F13">
            <w:pPr>
              <w:pStyle w:val="ListParagraph"/>
              <w:spacing w:after="200" w:line="276" w:lineRule="auto"/>
              <w:ind w:left="0"/>
              <w:contextualSpacing/>
              <w:rPr>
                <w:rFonts w:ascii="Humnst777 Lt BT" w:hAnsi="Humnst777 Lt BT"/>
                <w:i/>
                <w:iCs/>
                <w:color w:val="1F3864"/>
                <w:sz w:val="18"/>
                <w:szCs w:val="18"/>
              </w:rPr>
            </w:pPr>
            <w:r>
              <w:rPr>
                <w:rFonts w:ascii="Humnst777 Lt BT" w:hAnsi="Humnst777 Lt BT"/>
                <w:i/>
                <w:iCs/>
                <w:color w:val="1F3864"/>
                <w:sz w:val="18"/>
                <w:szCs w:val="18"/>
              </w:rPr>
              <w:t>Changes are communicated to students using a consistent method</w:t>
            </w:r>
          </w:p>
          <w:p w14:paraId="04D4B7C1" w14:textId="4811E30C" w:rsidR="005D29E9" w:rsidRPr="00263F13" w:rsidRDefault="00263F13" w:rsidP="00263F13">
            <w:pPr>
              <w:spacing w:after="200" w:line="276" w:lineRule="auto"/>
              <w:contextualSpacing/>
              <w:rPr>
                <w:rFonts w:ascii="Humnst777 Lt BT" w:hAnsi="Humnst777 Lt BT"/>
                <w:i/>
                <w:iCs/>
                <w:color w:val="1F3864"/>
                <w:sz w:val="18"/>
                <w:szCs w:val="18"/>
              </w:rPr>
            </w:pPr>
            <w:r>
              <w:rPr>
                <w:rFonts w:ascii="Humnst777 Lt BT" w:hAnsi="Humnst777 Lt BT"/>
                <w:i/>
                <w:iCs/>
                <w:color w:val="1F3864"/>
                <w:sz w:val="18"/>
                <w:szCs w:val="18"/>
              </w:rPr>
              <w:t>Late changes to published student timetables reduced by 10% by 2021 (measured through KPIs).</w:t>
            </w:r>
          </w:p>
        </w:tc>
        <w:tc>
          <w:tcPr>
            <w:tcW w:w="1929" w:type="dxa"/>
            <w:shd w:val="clear" w:color="auto" w:fill="DEEAF6" w:themeFill="accent1" w:themeFillTint="33"/>
          </w:tcPr>
          <w:p w14:paraId="6F9A2886" w14:textId="0C1B9B5E" w:rsidR="005D29E9" w:rsidRPr="001F0BEA" w:rsidRDefault="00263F13" w:rsidP="00B51FDF">
            <w:pPr>
              <w:pStyle w:val="ListParagraph"/>
              <w:spacing w:after="200" w:line="276" w:lineRule="auto"/>
              <w:ind w:left="0"/>
              <w:contextualSpacing/>
              <w:rPr>
                <w:rFonts w:ascii="Humnst777 Lt BT" w:hAnsi="Humnst777 Lt BT"/>
                <w:i/>
              </w:rPr>
            </w:pPr>
            <w:r>
              <w:rPr>
                <w:rFonts w:ascii="Humnst777 Lt BT" w:hAnsi="Humnst777 Lt BT"/>
                <w:i/>
                <w:iCs/>
                <w:color w:val="1F3864"/>
                <w:sz w:val="18"/>
                <w:szCs w:val="18"/>
              </w:rPr>
              <w:t>Timetabling and Rooming Office</w:t>
            </w:r>
          </w:p>
        </w:tc>
        <w:tc>
          <w:tcPr>
            <w:tcW w:w="1428" w:type="dxa"/>
            <w:shd w:val="clear" w:color="auto" w:fill="DEEAF6" w:themeFill="accent1" w:themeFillTint="33"/>
          </w:tcPr>
          <w:p w14:paraId="6ED5075B" w14:textId="77777777" w:rsidR="00263F13" w:rsidRDefault="00263F13" w:rsidP="00263F13">
            <w:pPr>
              <w:pStyle w:val="ListParagraph"/>
              <w:spacing w:after="200" w:line="276" w:lineRule="auto"/>
              <w:ind w:left="0"/>
              <w:contextualSpacing/>
              <w:rPr>
                <w:rFonts w:ascii="Humnst777 Lt BT" w:hAnsi="Humnst777 Lt BT"/>
                <w:i/>
                <w:iCs/>
                <w:color w:val="1F3864"/>
                <w:sz w:val="18"/>
                <w:szCs w:val="18"/>
              </w:rPr>
            </w:pPr>
            <w:r>
              <w:rPr>
                <w:rFonts w:ascii="Humnst777 Lt BT" w:hAnsi="Humnst777 Lt BT"/>
                <w:i/>
                <w:iCs/>
                <w:color w:val="1F3864"/>
                <w:sz w:val="18"/>
                <w:szCs w:val="18"/>
              </w:rPr>
              <w:t>Implementation September 2020.</w:t>
            </w:r>
          </w:p>
          <w:p w14:paraId="7D881C80" w14:textId="77777777" w:rsidR="00263F13" w:rsidRDefault="00263F13" w:rsidP="00263F13">
            <w:pPr>
              <w:pStyle w:val="ListParagraph"/>
              <w:spacing w:after="200" w:line="276" w:lineRule="auto"/>
              <w:ind w:left="0"/>
              <w:contextualSpacing/>
              <w:rPr>
                <w:rFonts w:ascii="Humnst777 Lt BT" w:hAnsi="Humnst777 Lt BT"/>
                <w:i/>
                <w:iCs/>
                <w:color w:val="1F3864"/>
                <w:sz w:val="18"/>
                <w:szCs w:val="18"/>
              </w:rPr>
            </w:pPr>
          </w:p>
          <w:p w14:paraId="14D40B26" w14:textId="77777777" w:rsidR="00263F13" w:rsidRDefault="00263F13" w:rsidP="00263F13">
            <w:pPr>
              <w:pStyle w:val="ListParagraph"/>
              <w:spacing w:after="200" w:line="276" w:lineRule="auto"/>
              <w:ind w:left="0"/>
              <w:contextualSpacing/>
              <w:rPr>
                <w:rFonts w:ascii="Humnst777 Lt BT" w:hAnsi="Humnst777 Lt BT"/>
                <w:i/>
                <w:iCs/>
                <w:color w:val="1F3864"/>
                <w:sz w:val="18"/>
                <w:szCs w:val="18"/>
              </w:rPr>
            </w:pPr>
          </w:p>
          <w:p w14:paraId="08118C7A" w14:textId="49EF5257" w:rsidR="005D29E9" w:rsidRPr="001F0BEA" w:rsidRDefault="00263F13" w:rsidP="00263F13">
            <w:pPr>
              <w:pStyle w:val="ListParagraph"/>
              <w:spacing w:after="200" w:line="276" w:lineRule="auto"/>
              <w:ind w:left="0"/>
              <w:contextualSpacing/>
              <w:rPr>
                <w:rFonts w:ascii="Humnst777 Lt BT" w:hAnsi="Humnst777 Lt BT"/>
                <w:i/>
              </w:rPr>
            </w:pPr>
            <w:r>
              <w:rPr>
                <w:rFonts w:ascii="Humnst777 Lt BT" w:hAnsi="Humnst777 Lt BT"/>
                <w:i/>
                <w:iCs/>
                <w:color w:val="1F3864"/>
                <w:sz w:val="18"/>
                <w:szCs w:val="18"/>
              </w:rPr>
              <w:t>Review in June 2020</w:t>
            </w:r>
            <w:r>
              <w:rPr>
                <w:rFonts w:ascii="Humnst777 Lt BT" w:hAnsi="Humnst777 Lt BT"/>
                <w:i/>
                <w:iCs/>
                <w:sz w:val="18"/>
                <w:szCs w:val="18"/>
              </w:rPr>
              <w:t>.</w:t>
            </w:r>
          </w:p>
        </w:tc>
      </w:tr>
      <w:tr w:rsidR="00FB0616" w14:paraId="200C32EA" w14:textId="77777777" w:rsidTr="00FB0616">
        <w:tc>
          <w:tcPr>
            <w:tcW w:w="709" w:type="dxa"/>
          </w:tcPr>
          <w:p w14:paraId="4CDCFE43" w14:textId="77777777" w:rsidR="00597DA2" w:rsidRPr="001F0BEA" w:rsidRDefault="005D29E9" w:rsidP="00B51FDF">
            <w:pPr>
              <w:pStyle w:val="ListParagraph"/>
              <w:spacing w:after="200" w:line="276" w:lineRule="auto"/>
              <w:ind w:left="0"/>
              <w:contextualSpacing/>
              <w:rPr>
                <w:rFonts w:ascii="Humnst777 Lt BT" w:hAnsi="Humnst777 Lt BT"/>
              </w:rPr>
            </w:pPr>
            <w:r>
              <w:rPr>
                <w:rFonts w:ascii="Humnst777 Lt BT" w:hAnsi="Humnst777 Lt BT"/>
              </w:rPr>
              <w:t>1</w:t>
            </w:r>
          </w:p>
        </w:tc>
        <w:tc>
          <w:tcPr>
            <w:tcW w:w="4424" w:type="dxa"/>
          </w:tcPr>
          <w:p w14:paraId="55133F9B" w14:textId="77777777" w:rsidR="00597DA2" w:rsidRPr="001F0BEA" w:rsidRDefault="00597DA2" w:rsidP="00B51FDF">
            <w:pPr>
              <w:pStyle w:val="ListParagraph"/>
              <w:spacing w:after="200" w:line="276" w:lineRule="auto"/>
              <w:ind w:left="0"/>
              <w:contextualSpacing/>
              <w:rPr>
                <w:rFonts w:ascii="Humnst777 Lt BT" w:hAnsi="Humnst777 Lt BT"/>
              </w:rPr>
            </w:pPr>
          </w:p>
        </w:tc>
        <w:tc>
          <w:tcPr>
            <w:tcW w:w="1776" w:type="dxa"/>
          </w:tcPr>
          <w:p w14:paraId="5E7C1365" w14:textId="75B4C516" w:rsidR="00597DA2" w:rsidRPr="001F0BEA" w:rsidRDefault="00597DA2" w:rsidP="00B51FDF">
            <w:pPr>
              <w:pStyle w:val="ListParagraph"/>
              <w:spacing w:after="200" w:line="276" w:lineRule="auto"/>
              <w:ind w:left="0"/>
              <w:contextualSpacing/>
              <w:rPr>
                <w:rFonts w:ascii="Humnst777 Lt BT" w:hAnsi="Humnst777 Lt BT"/>
              </w:rPr>
            </w:pPr>
          </w:p>
        </w:tc>
        <w:tc>
          <w:tcPr>
            <w:tcW w:w="2882" w:type="dxa"/>
          </w:tcPr>
          <w:p w14:paraId="5900EDB8" w14:textId="77777777" w:rsidR="00597DA2" w:rsidRPr="001F0BEA" w:rsidRDefault="00597DA2" w:rsidP="00B51FDF">
            <w:pPr>
              <w:pStyle w:val="ListParagraph"/>
              <w:spacing w:after="200" w:line="276" w:lineRule="auto"/>
              <w:ind w:left="0"/>
              <w:contextualSpacing/>
              <w:rPr>
                <w:rFonts w:ascii="Humnst777 Lt BT" w:hAnsi="Humnst777 Lt BT"/>
              </w:rPr>
            </w:pPr>
          </w:p>
        </w:tc>
        <w:tc>
          <w:tcPr>
            <w:tcW w:w="2020" w:type="dxa"/>
          </w:tcPr>
          <w:p w14:paraId="13AC987E" w14:textId="77777777" w:rsidR="00597DA2" w:rsidRPr="001F0BEA" w:rsidRDefault="00597DA2" w:rsidP="00B51FDF">
            <w:pPr>
              <w:pStyle w:val="ListParagraph"/>
              <w:spacing w:after="200" w:line="276" w:lineRule="auto"/>
              <w:ind w:left="0"/>
              <w:contextualSpacing/>
              <w:rPr>
                <w:rFonts w:ascii="Humnst777 Lt BT" w:hAnsi="Humnst777 Lt BT"/>
              </w:rPr>
            </w:pPr>
          </w:p>
        </w:tc>
        <w:tc>
          <w:tcPr>
            <w:tcW w:w="1929" w:type="dxa"/>
          </w:tcPr>
          <w:p w14:paraId="5F62DBC9" w14:textId="77777777" w:rsidR="00597DA2" w:rsidRPr="001F0BEA" w:rsidRDefault="00597DA2" w:rsidP="00B51FDF">
            <w:pPr>
              <w:pStyle w:val="ListParagraph"/>
              <w:spacing w:after="200" w:line="276" w:lineRule="auto"/>
              <w:ind w:left="0"/>
              <w:contextualSpacing/>
              <w:rPr>
                <w:rFonts w:ascii="Humnst777 Lt BT" w:hAnsi="Humnst777 Lt BT"/>
              </w:rPr>
            </w:pPr>
          </w:p>
        </w:tc>
        <w:tc>
          <w:tcPr>
            <w:tcW w:w="1428" w:type="dxa"/>
          </w:tcPr>
          <w:p w14:paraId="6E9688D5" w14:textId="77777777" w:rsidR="00597DA2" w:rsidRPr="001F0BEA" w:rsidRDefault="00597DA2" w:rsidP="00B51FDF">
            <w:pPr>
              <w:pStyle w:val="ListParagraph"/>
              <w:spacing w:after="200" w:line="276" w:lineRule="auto"/>
              <w:ind w:left="0"/>
              <w:contextualSpacing/>
              <w:rPr>
                <w:rFonts w:ascii="Humnst777 Lt BT" w:hAnsi="Humnst777 Lt BT"/>
              </w:rPr>
            </w:pPr>
          </w:p>
        </w:tc>
      </w:tr>
      <w:tr w:rsidR="00FB0616" w14:paraId="62FC19F1" w14:textId="77777777" w:rsidTr="00FB0616">
        <w:tc>
          <w:tcPr>
            <w:tcW w:w="709" w:type="dxa"/>
          </w:tcPr>
          <w:p w14:paraId="0F0A0544" w14:textId="77777777" w:rsidR="00597DA2" w:rsidRPr="001F0BEA" w:rsidRDefault="005D29E9" w:rsidP="00B51FDF">
            <w:pPr>
              <w:pStyle w:val="ListParagraph"/>
              <w:spacing w:after="200" w:line="276" w:lineRule="auto"/>
              <w:ind w:left="0"/>
              <w:contextualSpacing/>
              <w:rPr>
                <w:rFonts w:ascii="Humnst777 Lt BT" w:hAnsi="Humnst777 Lt BT"/>
              </w:rPr>
            </w:pPr>
            <w:r>
              <w:rPr>
                <w:rFonts w:ascii="Humnst777 Lt BT" w:hAnsi="Humnst777 Lt BT"/>
              </w:rPr>
              <w:lastRenderedPageBreak/>
              <w:t>2</w:t>
            </w:r>
          </w:p>
        </w:tc>
        <w:tc>
          <w:tcPr>
            <w:tcW w:w="4424" w:type="dxa"/>
          </w:tcPr>
          <w:p w14:paraId="0E78B568" w14:textId="77777777" w:rsidR="00597DA2" w:rsidRPr="001F0BEA" w:rsidRDefault="00597DA2" w:rsidP="00B51FDF">
            <w:pPr>
              <w:pStyle w:val="ListParagraph"/>
              <w:spacing w:after="200" w:line="276" w:lineRule="auto"/>
              <w:ind w:left="0"/>
              <w:contextualSpacing/>
              <w:rPr>
                <w:rFonts w:ascii="Humnst777 Lt BT" w:hAnsi="Humnst777 Lt BT"/>
              </w:rPr>
            </w:pPr>
          </w:p>
        </w:tc>
        <w:tc>
          <w:tcPr>
            <w:tcW w:w="1776" w:type="dxa"/>
          </w:tcPr>
          <w:p w14:paraId="47D416FF" w14:textId="77777777" w:rsidR="00597DA2" w:rsidRPr="001F0BEA" w:rsidRDefault="00597DA2" w:rsidP="00B51FDF">
            <w:pPr>
              <w:pStyle w:val="ListParagraph"/>
              <w:spacing w:after="200" w:line="276" w:lineRule="auto"/>
              <w:ind w:left="0"/>
              <w:contextualSpacing/>
              <w:rPr>
                <w:rFonts w:ascii="Humnst777 Lt BT" w:hAnsi="Humnst777 Lt BT"/>
              </w:rPr>
            </w:pPr>
          </w:p>
        </w:tc>
        <w:tc>
          <w:tcPr>
            <w:tcW w:w="2882" w:type="dxa"/>
          </w:tcPr>
          <w:p w14:paraId="2E8301AA" w14:textId="77777777" w:rsidR="00597DA2" w:rsidRPr="001F0BEA" w:rsidRDefault="00597DA2" w:rsidP="00B51FDF">
            <w:pPr>
              <w:pStyle w:val="ListParagraph"/>
              <w:spacing w:after="200" w:line="276" w:lineRule="auto"/>
              <w:ind w:left="0"/>
              <w:contextualSpacing/>
              <w:rPr>
                <w:rFonts w:ascii="Humnst777 Lt BT" w:hAnsi="Humnst777 Lt BT"/>
              </w:rPr>
            </w:pPr>
          </w:p>
        </w:tc>
        <w:tc>
          <w:tcPr>
            <w:tcW w:w="2020" w:type="dxa"/>
          </w:tcPr>
          <w:p w14:paraId="72E3A61B" w14:textId="77777777" w:rsidR="00597DA2" w:rsidRPr="001F0BEA" w:rsidRDefault="00597DA2" w:rsidP="00B51FDF">
            <w:pPr>
              <w:pStyle w:val="ListParagraph"/>
              <w:spacing w:after="200" w:line="276" w:lineRule="auto"/>
              <w:ind w:left="0"/>
              <w:contextualSpacing/>
              <w:rPr>
                <w:rFonts w:ascii="Humnst777 Lt BT" w:hAnsi="Humnst777 Lt BT"/>
              </w:rPr>
            </w:pPr>
          </w:p>
        </w:tc>
        <w:tc>
          <w:tcPr>
            <w:tcW w:w="1929" w:type="dxa"/>
          </w:tcPr>
          <w:p w14:paraId="2268415D" w14:textId="77777777" w:rsidR="00597DA2" w:rsidRPr="001F0BEA" w:rsidRDefault="00597DA2" w:rsidP="00B51FDF">
            <w:pPr>
              <w:pStyle w:val="ListParagraph"/>
              <w:spacing w:after="200" w:line="276" w:lineRule="auto"/>
              <w:ind w:left="0"/>
              <w:contextualSpacing/>
              <w:rPr>
                <w:rFonts w:ascii="Humnst777 Lt BT" w:hAnsi="Humnst777 Lt BT"/>
              </w:rPr>
            </w:pPr>
          </w:p>
        </w:tc>
        <w:tc>
          <w:tcPr>
            <w:tcW w:w="1428" w:type="dxa"/>
          </w:tcPr>
          <w:p w14:paraId="14A04176" w14:textId="77777777" w:rsidR="00597DA2" w:rsidRPr="001F0BEA" w:rsidRDefault="00597DA2" w:rsidP="00B51FDF">
            <w:pPr>
              <w:pStyle w:val="ListParagraph"/>
              <w:spacing w:after="200" w:line="276" w:lineRule="auto"/>
              <w:ind w:left="0"/>
              <w:contextualSpacing/>
              <w:rPr>
                <w:rFonts w:ascii="Humnst777 Lt BT" w:hAnsi="Humnst777 Lt BT"/>
              </w:rPr>
            </w:pPr>
          </w:p>
        </w:tc>
      </w:tr>
      <w:tr w:rsidR="00FB0616" w14:paraId="04634500" w14:textId="77777777" w:rsidTr="00FB0616">
        <w:tc>
          <w:tcPr>
            <w:tcW w:w="709" w:type="dxa"/>
          </w:tcPr>
          <w:p w14:paraId="7C7C16BA" w14:textId="77777777" w:rsidR="00597DA2" w:rsidRPr="001F0BEA" w:rsidRDefault="005D29E9" w:rsidP="00B51FDF">
            <w:pPr>
              <w:pStyle w:val="ListParagraph"/>
              <w:spacing w:after="200" w:line="276" w:lineRule="auto"/>
              <w:ind w:left="0"/>
              <w:contextualSpacing/>
              <w:rPr>
                <w:rFonts w:ascii="Humnst777 Lt BT" w:hAnsi="Humnst777 Lt BT"/>
              </w:rPr>
            </w:pPr>
            <w:r>
              <w:rPr>
                <w:rFonts w:ascii="Humnst777 Lt BT" w:hAnsi="Humnst777 Lt BT"/>
              </w:rPr>
              <w:t>3</w:t>
            </w:r>
          </w:p>
        </w:tc>
        <w:tc>
          <w:tcPr>
            <w:tcW w:w="4424" w:type="dxa"/>
          </w:tcPr>
          <w:p w14:paraId="3F80D827" w14:textId="77777777" w:rsidR="00597DA2" w:rsidRPr="001F0BEA" w:rsidRDefault="00597DA2" w:rsidP="00B51FDF">
            <w:pPr>
              <w:pStyle w:val="ListParagraph"/>
              <w:spacing w:after="200" w:line="276" w:lineRule="auto"/>
              <w:ind w:left="0"/>
              <w:contextualSpacing/>
              <w:rPr>
                <w:rFonts w:ascii="Humnst777 Lt BT" w:hAnsi="Humnst777 Lt BT"/>
              </w:rPr>
            </w:pPr>
          </w:p>
        </w:tc>
        <w:tc>
          <w:tcPr>
            <w:tcW w:w="1776" w:type="dxa"/>
          </w:tcPr>
          <w:p w14:paraId="4CF1304D" w14:textId="77777777" w:rsidR="00597DA2" w:rsidRPr="001F0BEA" w:rsidRDefault="00597DA2" w:rsidP="00B51FDF">
            <w:pPr>
              <w:pStyle w:val="ListParagraph"/>
              <w:spacing w:after="200" w:line="276" w:lineRule="auto"/>
              <w:ind w:left="0"/>
              <w:contextualSpacing/>
              <w:rPr>
                <w:rFonts w:ascii="Humnst777 Lt BT" w:hAnsi="Humnst777 Lt BT"/>
              </w:rPr>
            </w:pPr>
          </w:p>
        </w:tc>
        <w:tc>
          <w:tcPr>
            <w:tcW w:w="2882" w:type="dxa"/>
          </w:tcPr>
          <w:p w14:paraId="5BD6D589" w14:textId="77777777" w:rsidR="00597DA2" w:rsidRPr="001F0BEA" w:rsidRDefault="00597DA2" w:rsidP="00B51FDF">
            <w:pPr>
              <w:pStyle w:val="ListParagraph"/>
              <w:spacing w:after="200" w:line="276" w:lineRule="auto"/>
              <w:ind w:left="0"/>
              <w:contextualSpacing/>
              <w:rPr>
                <w:rFonts w:ascii="Humnst777 Lt BT" w:hAnsi="Humnst777 Lt BT"/>
              </w:rPr>
            </w:pPr>
          </w:p>
        </w:tc>
        <w:tc>
          <w:tcPr>
            <w:tcW w:w="2020" w:type="dxa"/>
          </w:tcPr>
          <w:p w14:paraId="5BCAC142" w14:textId="77777777" w:rsidR="00597DA2" w:rsidRPr="001F0BEA" w:rsidRDefault="00597DA2" w:rsidP="00B51FDF">
            <w:pPr>
              <w:pStyle w:val="ListParagraph"/>
              <w:spacing w:after="200" w:line="276" w:lineRule="auto"/>
              <w:ind w:left="0"/>
              <w:contextualSpacing/>
              <w:rPr>
                <w:rFonts w:ascii="Humnst777 Lt BT" w:hAnsi="Humnst777 Lt BT"/>
              </w:rPr>
            </w:pPr>
          </w:p>
        </w:tc>
        <w:tc>
          <w:tcPr>
            <w:tcW w:w="1929" w:type="dxa"/>
          </w:tcPr>
          <w:p w14:paraId="0C64EEAD" w14:textId="77777777" w:rsidR="00597DA2" w:rsidRPr="001F0BEA" w:rsidRDefault="00597DA2" w:rsidP="00B51FDF">
            <w:pPr>
              <w:pStyle w:val="ListParagraph"/>
              <w:spacing w:after="200" w:line="276" w:lineRule="auto"/>
              <w:ind w:left="0"/>
              <w:contextualSpacing/>
              <w:rPr>
                <w:rFonts w:ascii="Humnst777 Lt BT" w:hAnsi="Humnst777 Lt BT"/>
              </w:rPr>
            </w:pPr>
          </w:p>
        </w:tc>
        <w:tc>
          <w:tcPr>
            <w:tcW w:w="1428" w:type="dxa"/>
          </w:tcPr>
          <w:p w14:paraId="17251354" w14:textId="77777777" w:rsidR="00597DA2" w:rsidRPr="001F0BEA" w:rsidRDefault="00597DA2" w:rsidP="00B51FDF">
            <w:pPr>
              <w:pStyle w:val="ListParagraph"/>
              <w:spacing w:after="200" w:line="276" w:lineRule="auto"/>
              <w:ind w:left="0"/>
              <w:contextualSpacing/>
              <w:rPr>
                <w:rFonts w:ascii="Humnst777 Lt BT" w:hAnsi="Humnst777 Lt BT"/>
              </w:rPr>
            </w:pPr>
          </w:p>
        </w:tc>
      </w:tr>
    </w:tbl>
    <w:p w14:paraId="6F5ACF6A" w14:textId="77777777" w:rsidR="00597DA2" w:rsidRPr="001F0BEA" w:rsidRDefault="00597DA2" w:rsidP="001F0BEA">
      <w:pPr>
        <w:spacing w:after="200" w:line="276" w:lineRule="auto"/>
        <w:contextualSpacing/>
        <w:rPr>
          <w:rFonts w:ascii="Humnst777 Lt BT" w:hAnsi="Humnst777 Lt BT"/>
          <w:i/>
        </w:rPr>
      </w:pPr>
    </w:p>
    <w:p w14:paraId="4E81A787" w14:textId="05FA6EC3" w:rsidR="00A60B91" w:rsidRPr="0023765B" w:rsidRDefault="005A0BB9" w:rsidP="005A0BB9">
      <w:pPr>
        <w:pStyle w:val="SectionHeading"/>
        <w:ind w:left="426"/>
      </w:pPr>
      <w:r>
        <w:t>SECTION 5 – EXAMPLES OF GOOD PRACTICE</w:t>
      </w:r>
    </w:p>
    <w:p w14:paraId="5F04B457" w14:textId="7F1D084B" w:rsidR="00597DA2" w:rsidRDefault="00A60B91" w:rsidP="00A60B91">
      <w:pPr>
        <w:widowControl w:val="0"/>
        <w:tabs>
          <w:tab w:val="left" w:pos="426"/>
        </w:tabs>
        <w:ind w:left="567"/>
        <w:rPr>
          <w:rFonts w:ascii="Humnst777 Lt BT" w:hAnsi="Humnst777 Lt BT" w:cs="Arial"/>
          <w:i/>
        </w:rPr>
      </w:pPr>
      <w:r w:rsidRPr="0023765B">
        <w:rPr>
          <w:rFonts w:ascii="Humnst777 Lt BT" w:hAnsi="Humnst777 Lt BT" w:cs="Arial"/>
          <w:i/>
        </w:rPr>
        <w:t xml:space="preserve">Please provide details of any examples of good practice </w:t>
      </w:r>
      <w:r>
        <w:rPr>
          <w:rFonts w:ascii="Humnst777 Lt BT" w:hAnsi="Humnst777 Lt BT" w:cs="Arial"/>
          <w:i/>
        </w:rPr>
        <w:t xml:space="preserve">relating to your department </w:t>
      </w:r>
      <w:r w:rsidRPr="0023765B">
        <w:rPr>
          <w:rFonts w:ascii="Humnst777 Lt BT" w:hAnsi="Humnst777 Lt BT" w:cs="Arial"/>
          <w:i/>
        </w:rPr>
        <w:t xml:space="preserve">that you wish to bring to the attention of </w:t>
      </w:r>
      <w:r>
        <w:rPr>
          <w:rFonts w:ascii="Humnst777 Lt BT" w:hAnsi="Humnst777 Lt BT" w:cs="Arial"/>
          <w:i/>
        </w:rPr>
        <w:t xml:space="preserve">other professional service departments and academic Schools / </w:t>
      </w:r>
      <w:r w:rsidR="001922DF">
        <w:rPr>
          <w:rFonts w:ascii="Humnst777 Lt BT" w:hAnsi="Humnst777 Lt BT" w:cs="Arial"/>
          <w:i/>
        </w:rPr>
        <w:t xml:space="preserve">Faculties </w:t>
      </w:r>
      <w:r>
        <w:rPr>
          <w:rFonts w:ascii="Humnst777 Lt BT" w:hAnsi="Humnst777 Lt BT" w:cs="Arial"/>
          <w:i/>
        </w:rPr>
        <w:t>/ University</w:t>
      </w:r>
      <w:r w:rsidR="00597DA2" w:rsidRPr="0023765B">
        <w:rPr>
          <w:rFonts w:ascii="Humnst777 Lt BT" w:hAnsi="Humnst777 Lt BT" w:cs="Arial"/>
          <w:i/>
        </w:rPr>
        <w:t>.</w:t>
      </w:r>
    </w:p>
    <w:p w14:paraId="528766B0" w14:textId="77777777" w:rsidR="00597DA2" w:rsidRDefault="00597DA2" w:rsidP="00A60B91">
      <w:pPr>
        <w:widowControl w:val="0"/>
        <w:tabs>
          <w:tab w:val="left" w:pos="426"/>
        </w:tabs>
        <w:ind w:left="567"/>
        <w:rPr>
          <w:rFonts w:ascii="Humnst777 Lt BT" w:hAnsi="Humnst777 Lt BT" w:cs="Arial"/>
          <w:i/>
        </w:rPr>
      </w:pPr>
    </w:p>
    <w:p w14:paraId="2F7B5C29" w14:textId="047F0D28" w:rsidR="00A60B91" w:rsidRDefault="00597DA2" w:rsidP="00A60B91">
      <w:pPr>
        <w:widowControl w:val="0"/>
        <w:tabs>
          <w:tab w:val="left" w:pos="426"/>
        </w:tabs>
        <w:ind w:left="567"/>
        <w:rPr>
          <w:rFonts w:ascii="Humnst777 Lt BT" w:hAnsi="Humnst777 Lt BT" w:cs="Arial"/>
          <w:i/>
        </w:rPr>
      </w:pPr>
      <w:r>
        <w:rPr>
          <w:rFonts w:ascii="Humnst777 Lt BT" w:hAnsi="Humnst777 Lt BT" w:cs="Arial"/>
          <w:i/>
        </w:rPr>
        <w:t>Focus on innovations that have had an impact on</w:t>
      </w:r>
      <w:r w:rsidR="001922DF">
        <w:rPr>
          <w:rFonts w:ascii="Humnst777 Lt BT" w:hAnsi="Humnst777 Lt BT" w:cs="Arial"/>
          <w:i/>
        </w:rPr>
        <w:t xml:space="preserve"> the student/staff experience</w:t>
      </w:r>
      <w:r>
        <w:rPr>
          <w:rFonts w:ascii="Humnst777 Lt BT" w:hAnsi="Humnst777 Lt BT" w:cs="Arial"/>
          <w:i/>
        </w:rPr>
        <w:t xml:space="preserve"> and do not include </w:t>
      </w:r>
      <w:r w:rsidR="001922DF">
        <w:rPr>
          <w:rFonts w:ascii="Humnst777 Lt BT" w:hAnsi="Humnst777 Lt BT" w:cs="Arial"/>
          <w:i/>
        </w:rPr>
        <w:t>activities</w:t>
      </w:r>
      <w:r>
        <w:rPr>
          <w:rFonts w:ascii="Humnst777 Lt BT" w:hAnsi="Humnst777 Lt BT" w:cs="Arial"/>
          <w:i/>
        </w:rPr>
        <w:t xml:space="preserve"> that are business as usual. This can also include good practice </w:t>
      </w:r>
      <w:r w:rsidR="00A60B91">
        <w:rPr>
          <w:rFonts w:ascii="Humnst777 Lt BT" w:hAnsi="Humnst777 Lt BT" w:cs="Arial"/>
          <w:i/>
        </w:rPr>
        <w:t xml:space="preserve">identified by external sources </w:t>
      </w:r>
      <w:r w:rsidR="00A60B91" w:rsidRPr="0023765B">
        <w:rPr>
          <w:rFonts w:ascii="Humnst777 Lt BT" w:hAnsi="Humnst777 Lt BT" w:cs="Arial"/>
          <w:i/>
        </w:rPr>
        <w:t>and good practice that is transferable.</w:t>
      </w:r>
    </w:p>
    <w:p w14:paraId="19287640" w14:textId="77777777" w:rsidR="00FB0616" w:rsidRPr="0023765B" w:rsidRDefault="00FB0616" w:rsidP="00A60B91">
      <w:pPr>
        <w:widowControl w:val="0"/>
        <w:tabs>
          <w:tab w:val="left" w:pos="426"/>
        </w:tabs>
        <w:ind w:left="567"/>
        <w:rPr>
          <w:rFonts w:ascii="Humnst777 Lt BT" w:hAnsi="Humnst777 Lt BT" w:cs="Arial"/>
          <w:i/>
        </w:rPr>
      </w:pPr>
    </w:p>
    <w:tbl>
      <w:tblPr>
        <w:tblStyle w:val="TableGrid"/>
        <w:tblW w:w="13891" w:type="dxa"/>
        <w:tblInd w:w="279" w:type="dxa"/>
        <w:tblLook w:val="04A0" w:firstRow="1" w:lastRow="0" w:firstColumn="1" w:lastColumn="0" w:noHBand="0" w:noVBand="1"/>
      </w:tblPr>
      <w:tblGrid>
        <w:gridCol w:w="13891"/>
      </w:tblGrid>
      <w:tr w:rsidR="00FB0616" w14:paraId="1D55ED58" w14:textId="77777777" w:rsidTr="005A0BB9">
        <w:tc>
          <w:tcPr>
            <w:tcW w:w="13891" w:type="dxa"/>
          </w:tcPr>
          <w:p w14:paraId="558AA772" w14:textId="77777777" w:rsidR="00FB0616" w:rsidRDefault="00FB0616" w:rsidP="00FB0616">
            <w:pPr>
              <w:rPr>
                <w:rFonts w:ascii="Humnst777 BT" w:hAnsi="Humnst777 BT"/>
                <w:sz w:val="22"/>
              </w:rPr>
            </w:pPr>
          </w:p>
          <w:p w14:paraId="06704319" w14:textId="77777777" w:rsidR="00FB0616" w:rsidRDefault="00FB0616" w:rsidP="00FB0616"/>
          <w:p w14:paraId="03A99F6E" w14:textId="43469934" w:rsidR="00FB0616" w:rsidRDefault="00FB0616" w:rsidP="00FB0616"/>
        </w:tc>
      </w:tr>
    </w:tbl>
    <w:p w14:paraId="3CE75561" w14:textId="77777777" w:rsidR="0050789C" w:rsidRDefault="0050789C">
      <w:bookmarkStart w:id="2" w:name="_GoBack"/>
      <w:bookmarkEnd w:id="2"/>
    </w:p>
    <w:sectPr w:rsidR="0050789C" w:rsidSect="00A60B91">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97F7A" w14:textId="77777777" w:rsidR="006A0E84" w:rsidRDefault="006A0E84" w:rsidP="00A60B91">
      <w:r>
        <w:separator/>
      </w:r>
    </w:p>
  </w:endnote>
  <w:endnote w:type="continuationSeparator" w:id="0">
    <w:p w14:paraId="4A5F341C" w14:textId="77777777" w:rsidR="006A0E84" w:rsidRDefault="006A0E84" w:rsidP="00A6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Lt BT">
    <w:panose1 w:val="020B0402030504020204"/>
    <w:charset w:val="00"/>
    <w:family w:val="swiss"/>
    <w:pitch w:val="variable"/>
    <w:sig w:usb0="00000087" w:usb1="00000000" w:usb2="00000000" w:usb3="00000000" w:csb0="0000001B" w:csb1="00000000"/>
  </w:font>
  <w:font w:name="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A960" w14:textId="7AA0CC97" w:rsidR="00A60B91" w:rsidRPr="002B04A8" w:rsidRDefault="002B04A8">
    <w:pPr>
      <w:pStyle w:val="Footer"/>
      <w:rPr>
        <w:rFonts w:ascii="Humnst777 Lt BT" w:hAnsi="Humnst777 Lt BT"/>
        <w:sz w:val="20"/>
        <w:szCs w:val="20"/>
      </w:rPr>
    </w:pPr>
    <w:r>
      <w:rPr>
        <w:rFonts w:ascii="Humnst777 Lt BT" w:hAnsi="Humnst777 Lt BT"/>
        <w:sz w:val="20"/>
        <w:szCs w:val="20"/>
      </w:rPr>
      <w:t>Professional Service Annual Monitoring Report</w:t>
    </w:r>
    <w:r w:rsidRPr="002B04A8">
      <w:rPr>
        <w:rFonts w:ascii="Humnst777 Lt BT" w:hAnsi="Humnst777 Lt BT"/>
        <w:sz w:val="20"/>
        <w:szCs w:val="20"/>
      </w:rPr>
      <w:ptab w:relativeTo="margin" w:alignment="center" w:leader="none"/>
    </w:r>
    <w:r>
      <w:rPr>
        <w:rFonts w:ascii="Humnst777 Lt BT" w:hAnsi="Humnst777 Lt BT"/>
        <w:sz w:val="20"/>
        <w:szCs w:val="20"/>
      </w:rPr>
      <w:t>May 2019</w:t>
    </w:r>
    <w:r w:rsidRPr="002B04A8">
      <w:rPr>
        <w:rFonts w:ascii="Humnst777 Lt BT" w:hAnsi="Humnst777 Lt BT"/>
        <w:sz w:val="20"/>
        <w:szCs w:val="20"/>
      </w:rPr>
      <w:ptab w:relativeTo="margin" w:alignment="right" w:leader="none"/>
    </w:r>
    <w:r w:rsidRPr="002B04A8">
      <w:rPr>
        <w:rFonts w:ascii="Humnst777 Lt BT" w:hAnsi="Humnst777 Lt BT"/>
        <w:sz w:val="20"/>
        <w:szCs w:val="20"/>
      </w:rPr>
      <w:t xml:space="preserve">Page | </w:t>
    </w:r>
    <w:r w:rsidRPr="002B04A8">
      <w:rPr>
        <w:rFonts w:ascii="Humnst777 Lt BT" w:hAnsi="Humnst777 Lt BT"/>
        <w:sz w:val="20"/>
        <w:szCs w:val="20"/>
      </w:rPr>
      <w:fldChar w:fldCharType="begin"/>
    </w:r>
    <w:r w:rsidRPr="002B04A8">
      <w:rPr>
        <w:rFonts w:ascii="Humnst777 Lt BT" w:hAnsi="Humnst777 Lt BT"/>
        <w:sz w:val="20"/>
        <w:szCs w:val="20"/>
      </w:rPr>
      <w:instrText xml:space="preserve"> PAGE   \* MERGEFORMAT </w:instrText>
    </w:r>
    <w:r w:rsidRPr="002B04A8">
      <w:rPr>
        <w:rFonts w:ascii="Humnst777 Lt BT" w:hAnsi="Humnst777 Lt BT"/>
        <w:sz w:val="20"/>
        <w:szCs w:val="20"/>
      </w:rPr>
      <w:fldChar w:fldCharType="separate"/>
    </w:r>
    <w:r w:rsidRPr="002B04A8">
      <w:rPr>
        <w:rFonts w:ascii="Humnst777 Lt BT" w:hAnsi="Humnst777 Lt BT"/>
        <w:noProof/>
        <w:sz w:val="20"/>
        <w:szCs w:val="20"/>
      </w:rPr>
      <w:t>1</w:t>
    </w:r>
    <w:r w:rsidRPr="002B04A8">
      <w:rPr>
        <w:rFonts w:ascii="Humnst777 Lt BT" w:hAnsi="Humnst777 Lt BT"/>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DF0B" w14:textId="77777777" w:rsidR="006A0E84" w:rsidRDefault="006A0E84" w:rsidP="00A60B91">
      <w:r>
        <w:separator/>
      </w:r>
    </w:p>
  </w:footnote>
  <w:footnote w:type="continuationSeparator" w:id="0">
    <w:p w14:paraId="15AEAF94" w14:textId="77777777" w:rsidR="006A0E84" w:rsidRDefault="006A0E84" w:rsidP="00A6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6E73" w14:textId="1562F97B" w:rsidR="00A07C54" w:rsidRDefault="00A07C54" w:rsidP="00A07C54">
    <w:pPr>
      <w:pStyle w:val="Header"/>
      <w:jc w:val="right"/>
    </w:pPr>
    <w:r w:rsidRPr="002C5A94">
      <w:rPr>
        <w:rFonts w:ascii="Humnst777 Lt BT" w:hAnsi="Humnst777 Lt BT"/>
        <w:noProof/>
        <w:sz w:val="18"/>
        <w:szCs w:val="18"/>
        <w:lang w:eastAsia="en-GB"/>
      </w:rPr>
      <w:drawing>
        <wp:inline distT="0" distB="0" distL="0" distR="0" wp14:anchorId="29D209CF" wp14:editId="1237E49E">
          <wp:extent cx="1677600" cy="680400"/>
          <wp:effectExtent l="0" t="0" r="0" b="5715"/>
          <wp:docPr id="2" name="Picture 2" descr="\\stafs-nhr-04.ccad.canterbury.ac.uk\sc313\Downloads\CCCU-logo-2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s-nhr-04.ccad.canterbury.ac.uk\sc313\Downloads\CCCU-logo-2colour.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7600" cy="680400"/>
                  </a:xfrm>
                  <a:prstGeom prst="rect">
                    <a:avLst/>
                  </a:prstGeom>
                  <a:noFill/>
                  <a:ln>
                    <a:noFill/>
                  </a:ln>
                </pic:spPr>
              </pic:pic>
            </a:graphicData>
          </a:graphic>
        </wp:inline>
      </w:drawing>
    </w:r>
  </w:p>
  <w:p w14:paraId="624BF30F" w14:textId="77777777" w:rsidR="00263F13" w:rsidRDefault="00263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7168"/>
    <w:multiLevelType w:val="hybridMultilevel"/>
    <w:tmpl w:val="D3B0A132"/>
    <w:lvl w:ilvl="0" w:tplc="8460E1FE">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7202E0"/>
    <w:multiLevelType w:val="hybridMultilevel"/>
    <w:tmpl w:val="CA98A47C"/>
    <w:lvl w:ilvl="0" w:tplc="08090001">
      <w:start w:val="1"/>
      <w:numFmt w:val="bullet"/>
      <w:lvlText w:val=""/>
      <w:lvlJc w:val="left"/>
      <w:pPr>
        <w:ind w:left="720" w:hanging="360"/>
      </w:pPr>
      <w:rPr>
        <w:rFonts w:ascii="Symbol" w:hAnsi="Symbol" w:hint="default"/>
      </w:rPr>
    </w:lvl>
    <w:lvl w:ilvl="1" w:tplc="C242FF3A">
      <w:start w:val="1"/>
      <w:numFmt w:val="bullet"/>
      <w:lvlText w:val="o"/>
      <w:lvlJc w:val="left"/>
      <w:pPr>
        <w:ind w:left="1440" w:hanging="360"/>
      </w:pPr>
      <w:rPr>
        <w:rFonts w:ascii="Courier New" w:hAnsi="Courier New" w:cs="Courier New" w:hint="default"/>
        <w:strike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5274C"/>
    <w:multiLevelType w:val="hybridMultilevel"/>
    <w:tmpl w:val="9B1E570C"/>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3" w15:restartNumberingAfterBreak="0">
    <w:nsid w:val="40DE3481"/>
    <w:multiLevelType w:val="hybridMultilevel"/>
    <w:tmpl w:val="D6B6AF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763FDF"/>
    <w:multiLevelType w:val="hybridMultilevel"/>
    <w:tmpl w:val="8472A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2395687"/>
    <w:multiLevelType w:val="hybridMultilevel"/>
    <w:tmpl w:val="7A266AD0"/>
    <w:lvl w:ilvl="0" w:tplc="1286DAA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3"/>
  </w:num>
  <w:num w:numId="3">
    <w:abstractNumId w:val="5"/>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B91"/>
    <w:rsid w:val="00056B06"/>
    <w:rsid w:val="001056EC"/>
    <w:rsid w:val="001922DF"/>
    <w:rsid w:val="001D3836"/>
    <w:rsid w:val="001F0BEA"/>
    <w:rsid w:val="00201202"/>
    <w:rsid w:val="00233D5D"/>
    <w:rsid w:val="00263F13"/>
    <w:rsid w:val="002802FF"/>
    <w:rsid w:val="002A37A1"/>
    <w:rsid w:val="002B04A8"/>
    <w:rsid w:val="002C5A94"/>
    <w:rsid w:val="00313218"/>
    <w:rsid w:val="00324299"/>
    <w:rsid w:val="003C5D02"/>
    <w:rsid w:val="00457036"/>
    <w:rsid w:val="00471800"/>
    <w:rsid w:val="004C5E1E"/>
    <w:rsid w:val="0050789C"/>
    <w:rsid w:val="00537118"/>
    <w:rsid w:val="00541C83"/>
    <w:rsid w:val="005467AA"/>
    <w:rsid w:val="00597DA2"/>
    <w:rsid w:val="005A0BB9"/>
    <w:rsid w:val="005D242B"/>
    <w:rsid w:val="005D29E9"/>
    <w:rsid w:val="0064293E"/>
    <w:rsid w:val="0066155B"/>
    <w:rsid w:val="006A0E84"/>
    <w:rsid w:val="006A2576"/>
    <w:rsid w:val="006F5CFD"/>
    <w:rsid w:val="00703160"/>
    <w:rsid w:val="00767F71"/>
    <w:rsid w:val="007C3ED7"/>
    <w:rsid w:val="00931CD5"/>
    <w:rsid w:val="00997059"/>
    <w:rsid w:val="009B1480"/>
    <w:rsid w:val="009C242A"/>
    <w:rsid w:val="009E77FE"/>
    <w:rsid w:val="00A07C54"/>
    <w:rsid w:val="00A60B91"/>
    <w:rsid w:val="00A60BDE"/>
    <w:rsid w:val="00A73D72"/>
    <w:rsid w:val="00A8736A"/>
    <w:rsid w:val="00AC5345"/>
    <w:rsid w:val="00AD07D0"/>
    <w:rsid w:val="00B017F6"/>
    <w:rsid w:val="00B62925"/>
    <w:rsid w:val="00B71BAB"/>
    <w:rsid w:val="00BD55B1"/>
    <w:rsid w:val="00BE5074"/>
    <w:rsid w:val="00C13E8C"/>
    <w:rsid w:val="00C43A1B"/>
    <w:rsid w:val="00C61F9E"/>
    <w:rsid w:val="00C814F5"/>
    <w:rsid w:val="00CB1990"/>
    <w:rsid w:val="00D81935"/>
    <w:rsid w:val="00E6014A"/>
    <w:rsid w:val="00E93388"/>
    <w:rsid w:val="00EB5526"/>
    <w:rsid w:val="00ED7E39"/>
    <w:rsid w:val="00EF3427"/>
    <w:rsid w:val="00F87C48"/>
    <w:rsid w:val="00FB0616"/>
    <w:rsid w:val="00FF5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3928F7"/>
  <w15:chartTrackingRefBased/>
  <w15:docId w15:val="{17E6BE42-FDD9-4331-B6E3-2E5F1CE5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B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B91"/>
    <w:pPr>
      <w:ind w:left="720"/>
    </w:pPr>
  </w:style>
  <w:style w:type="paragraph" w:styleId="Header">
    <w:name w:val="header"/>
    <w:basedOn w:val="Normal"/>
    <w:link w:val="HeaderChar"/>
    <w:uiPriority w:val="99"/>
    <w:unhideWhenUsed/>
    <w:rsid w:val="00A60B91"/>
    <w:pPr>
      <w:tabs>
        <w:tab w:val="center" w:pos="4513"/>
        <w:tab w:val="right" w:pos="9026"/>
      </w:tabs>
    </w:pPr>
  </w:style>
  <w:style w:type="character" w:customStyle="1" w:styleId="HeaderChar">
    <w:name w:val="Header Char"/>
    <w:basedOn w:val="DefaultParagraphFont"/>
    <w:link w:val="Header"/>
    <w:uiPriority w:val="99"/>
    <w:rsid w:val="00A60B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B91"/>
    <w:pPr>
      <w:tabs>
        <w:tab w:val="center" w:pos="4513"/>
        <w:tab w:val="right" w:pos="9026"/>
      </w:tabs>
    </w:pPr>
  </w:style>
  <w:style w:type="character" w:customStyle="1" w:styleId="FooterChar">
    <w:name w:val="Footer Char"/>
    <w:basedOn w:val="DefaultParagraphFont"/>
    <w:link w:val="Footer"/>
    <w:uiPriority w:val="99"/>
    <w:rsid w:val="00A60B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42B"/>
    <w:rPr>
      <w:rFonts w:ascii="Segoe UI" w:eastAsia="Times New Roman" w:hAnsi="Segoe UI" w:cs="Segoe UI"/>
      <w:sz w:val="18"/>
      <w:szCs w:val="18"/>
    </w:rPr>
  </w:style>
  <w:style w:type="table" w:styleId="TableGrid">
    <w:name w:val="Table Grid"/>
    <w:basedOn w:val="TableNormal"/>
    <w:uiPriority w:val="39"/>
    <w:rsid w:val="00597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77FE"/>
    <w:rPr>
      <w:sz w:val="16"/>
      <w:szCs w:val="16"/>
    </w:rPr>
  </w:style>
  <w:style w:type="paragraph" w:styleId="CommentText">
    <w:name w:val="annotation text"/>
    <w:basedOn w:val="Normal"/>
    <w:link w:val="CommentTextChar"/>
    <w:uiPriority w:val="99"/>
    <w:semiHidden/>
    <w:unhideWhenUsed/>
    <w:rsid w:val="009E77FE"/>
    <w:rPr>
      <w:sz w:val="20"/>
      <w:szCs w:val="20"/>
    </w:rPr>
  </w:style>
  <w:style w:type="character" w:customStyle="1" w:styleId="CommentTextChar">
    <w:name w:val="Comment Text Char"/>
    <w:basedOn w:val="DefaultParagraphFont"/>
    <w:link w:val="CommentText"/>
    <w:uiPriority w:val="99"/>
    <w:semiHidden/>
    <w:rsid w:val="009E77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77FE"/>
    <w:rPr>
      <w:b/>
      <w:bCs/>
    </w:rPr>
  </w:style>
  <w:style w:type="character" w:customStyle="1" w:styleId="CommentSubjectChar">
    <w:name w:val="Comment Subject Char"/>
    <w:basedOn w:val="CommentTextChar"/>
    <w:link w:val="CommentSubject"/>
    <w:uiPriority w:val="99"/>
    <w:semiHidden/>
    <w:rsid w:val="009E77FE"/>
    <w:rPr>
      <w:rFonts w:ascii="Times New Roman" w:eastAsia="Times New Roman" w:hAnsi="Times New Roman" w:cs="Times New Roman"/>
      <w:b/>
      <w:bCs/>
      <w:sz w:val="20"/>
      <w:szCs w:val="20"/>
    </w:rPr>
  </w:style>
  <w:style w:type="paragraph" w:customStyle="1" w:styleId="SectionHeading">
    <w:name w:val="Section Heading"/>
    <w:basedOn w:val="Normal"/>
    <w:next w:val="Normal"/>
    <w:link w:val="SectionHeadingChar"/>
    <w:qFormat/>
    <w:rsid w:val="003C5D02"/>
    <w:pPr>
      <w:keepNext/>
      <w:pBdr>
        <w:top w:val="single" w:sz="4" w:space="6" w:color="auto"/>
        <w:left w:val="single" w:sz="4" w:space="4" w:color="auto"/>
        <w:bottom w:val="single" w:sz="4" w:space="6" w:color="auto"/>
        <w:right w:val="single" w:sz="4" w:space="4" w:color="auto"/>
      </w:pBdr>
      <w:shd w:val="clear" w:color="auto" w:fill="233289"/>
      <w:jc w:val="both"/>
      <w:outlineLvl w:val="0"/>
    </w:pPr>
    <w:rPr>
      <w:rFonts w:ascii="Humnst777 Lt BT" w:hAnsi="Humnst777 Lt BT"/>
      <w:b/>
      <w:color w:val="FFFFFF" w:themeColor="background1"/>
      <w:sz w:val="22"/>
      <w:szCs w:val="28"/>
    </w:rPr>
  </w:style>
  <w:style w:type="character" w:customStyle="1" w:styleId="SectionHeadingChar">
    <w:name w:val="Section Heading Char"/>
    <w:basedOn w:val="DefaultParagraphFont"/>
    <w:link w:val="SectionHeading"/>
    <w:rsid w:val="003C5D02"/>
    <w:rPr>
      <w:rFonts w:ascii="Humnst777 Lt BT" w:eastAsia="Times New Roman" w:hAnsi="Humnst777 Lt BT" w:cs="Times New Roman"/>
      <w:b/>
      <w:color w:val="FFFFFF" w:themeColor="background1"/>
      <w:szCs w:val="28"/>
      <w:shd w:val="clear" w:color="auto" w:fill="23328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6934">
      <w:bodyDiv w:val="1"/>
      <w:marLeft w:val="0"/>
      <w:marRight w:val="0"/>
      <w:marTop w:val="0"/>
      <w:marBottom w:val="0"/>
      <w:divBdr>
        <w:top w:val="none" w:sz="0" w:space="0" w:color="auto"/>
        <w:left w:val="none" w:sz="0" w:space="0" w:color="auto"/>
        <w:bottom w:val="none" w:sz="0" w:space="0" w:color="auto"/>
        <w:right w:val="none" w:sz="0" w:space="0" w:color="auto"/>
      </w:divBdr>
    </w:div>
    <w:div w:id="527370724">
      <w:bodyDiv w:val="1"/>
      <w:marLeft w:val="0"/>
      <w:marRight w:val="0"/>
      <w:marTop w:val="0"/>
      <w:marBottom w:val="0"/>
      <w:divBdr>
        <w:top w:val="none" w:sz="0" w:space="0" w:color="auto"/>
        <w:left w:val="none" w:sz="0" w:space="0" w:color="auto"/>
        <w:bottom w:val="none" w:sz="0" w:space="0" w:color="auto"/>
        <w:right w:val="none" w:sz="0" w:space="0" w:color="auto"/>
      </w:divBdr>
    </w:div>
    <w:div w:id="1034769258">
      <w:bodyDiv w:val="1"/>
      <w:marLeft w:val="0"/>
      <w:marRight w:val="0"/>
      <w:marTop w:val="0"/>
      <w:marBottom w:val="0"/>
      <w:divBdr>
        <w:top w:val="none" w:sz="0" w:space="0" w:color="auto"/>
        <w:left w:val="none" w:sz="0" w:space="0" w:color="auto"/>
        <w:bottom w:val="none" w:sz="0" w:space="0" w:color="auto"/>
        <w:right w:val="none" w:sz="0" w:space="0" w:color="auto"/>
      </w:divBdr>
    </w:div>
    <w:div w:id="1266498595">
      <w:bodyDiv w:val="1"/>
      <w:marLeft w:val="0"/>
      <w:marRight w:val="0"/>
      <w:marTop w:val="0"/>
      <w:marBottom w:val="0"/>
      <w:divBdr>
        <w:top w:val="none" w:sz="0" w:space="0" w:color="auto"/>
        <w:left w:val="none" w:sz="0" w:space="0" w:color="auto"/>
        <w:bottom w:val="none" w:sz="0" w:space="0" w:color="auto"/>
        <w:right w:val="none" w:sz="0" w:space="0" w:color="auto"/>
      </w:divBdr>
    </w:div>
    <w:div w:id="1984963165">
      <w:bodyDiv w:val="1"/>
      <w:marLeft w:val="0"/>
      <w:marRight w:val="0"/>
      <w:marTop w:val="0"/>
      <w:marBottom w:val="0"/>
      <w:divBdr>
        <w:top w:val="none" w:sz="0" w:space="0" w:color="auto"/>
        <w:left w:val="none" w:sz="0" w:space="0" w:color="auto"/>
        <w:bottom w:val="none" w:sz="0" w:space="0" w:color="auto"/>
        <w:right w:val="none" w:sz="0" w:space="0" w:color="auto"/>
      </w:divBdr>
    </w:div>
    <w:div w:id="2053117143">
      <w:bodyDiv w:val="1"/>
      <w:marLeft w:val="0"/>
      <w:marRight w:val="0"/>
      <w:marTop w:val="0"/>
      <w:marBottom w:val="0"/>
      <w:divBdr>
        <w:top w:val="none" w:sz="0" w:space="0" w:color="auto"/>
        <w:left w:val="none" w:sz="0" w:space="0" w:color="auto"/>
        <w:bottom w:val="none" w:sz="0" w:space="0" w:color="auto"/>
        <w:right w:val="none" w:sz="0" w:space="0" w:color="auto"/>
      </w:divBdr>
    </w:div>
    <w:div w:id="21052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annual-professional-service-department-monitoring-report</vt:lpstr>
    </vt:vector>
  </TitlesOfParts>
  <Company>Canterbury Christ Church University</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annual-professional-service-department-monitoring-report</dc:title>
  <dc:subject>
  </dc:subject>
  <dc:creator>Bowden, Lucy (lucy.bowden@canterbury.ac.uk)</dc:creator>
  <cp:keywords>
  </cp:keywords>
  <dc:description>
  </dc:description>
  <cp:lastModifiedBy>Lucy Bowden</cp:lastModifiedBy>
  <cp:revision>3</cp:revision>
  <cp:lastPrinted>2018-09-12T09:28:00Z</cp:lastPrinted>
  <dcterms:created xsi:type="dcterms:W3CDTF">2020-09-30T06:59:00Z</dcterms:created>
  <dcterms:modified xsi:type="dcterms:W3CDTF">2020-09-30T07:52:00Z</dcterms:modified>
</cp:coreProperties>
</file>